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single" w:sz="4" w:color="AFC3E0"/>
          <w:left w:val="single" w:sz="4" w:color="AFC3E0"/>
          <w:bottom w:val="single" w:sz="4" w:color="AFC3E0"/>
          <w:right w:val="single" w:sz="4" w:color="AFC3E0"/>
          <w:insideH w:val="single" w:sz="4" w:color="AFC3E0"/>
          <w:insideV w:val="single" w:sz="4" w:color="AFC3E0"/>
        </w:tblBorders>
      </w:tblPr>
      <w:tblGrid>
        <w:gridCol w:w="6803"/>
        <w:gridCol w:w="2835"/>
      </w:tblGrid>
      <w:tr>
        <w:tc>
          <w:tcPr>
            <w:tcW w:type="dxa" w:w="4819"/>
            <w:shd w:fill="EAF7FA"/>
          </w:tcPr>
          <w:p>
            <w:r>
              <w:rPr>
                <w:rFonts w:ascii="Times New Roman" w:hAnsi="Times New Roman"/>
                <w:b/>
                <w:i w:val="0"/>
                <w:color w:val="2F66B3"/>
                <w:sz w:val="22"/>
              </w:rPr>
              <w:t>JOURNAL OF APPLIED SCIENCE AND TECHNOLOGY IN ENGINEERING</w:t>
            </w:r>
            <w:r>
              <w:br/>
            </w:r>
            <w:r>
              <w:rPr>
                <w:rFonts w:ascii="Times New Roman" w:hAnsi="Times New Roman"/>
                <w:b w:val="0"/>
                <w:i w:val="0"/>
                <w:color w:val="666666"/>
                <w:sz w:val="16"/>
              </w:rPr>
              <w:t>Published by Arete Litera under PT Arete Mahardika Saqhi</w:t>
            </w:r>
          </w:p>
        </w:tc>
        <w:tc>
          <w:tcPr>
            <w:tcW w:type="dxa" w:w="4819"/>
            <w:shd w:fill="2F66B3"/>
          </w:tcPr>
          <w:p>
            <w:pPr>
              <w:jc w:val="right"/>
            </w:pPr>
            <w:r>
              <w:rPr>
                <w:rFonts w:ascii="Times New Roman" w:hAnsi="Times New Roman"/>
                <w:b/>
                <w:i w:val="0"/>
                <w:color w:val="FFFFFF"/>
                <w:sz w:val="16"/>
              </w:rPr>
              <w:t>Vol. 1, No. 1</w:t>
              <w:br/>
              <w:t>February 2026</w:t>
              <w:br/>
              <w:t>P-ISSN: XXXX-XXXX</w:t>
              <w:br/>
              <w:t>E-ISSN: XXXX-XXXX</w:t>
            </w:r>
          </w:p>
        </w:tc>
      </w:tr>
    </w:tbl>
    <w:p>
      <w:pPr>
        <w:spacing w:before="200" w:after="120"/>
        <w:jc w:val="center"/>
      </w:pPr>
      <w:r>
        <w:rPr>
          <w:rFonts w:ascii="Times New Roman" w:hAnsi="Times New Roman"/>
          <w:b/>
          <w:i w:val="0"/>
          <w:color w:val="111111"/>
          <w:sz w:val="28"/>
        </w:rPr>
        <w:t>Design Requirements for an IoT-Based Remote Pain Monitoring System for Older Adults with Osteoarthritis</w:t>
      </w:r>
    </w:p>
    <w:p>
      <w:pPr>
        <w:jc w:val="center"/>
      </w:pPr>
      <w:r>
        <w:rPr>
          <w:rFonts w:ascii="Times New Roman" w:hAnsi="Times New Roman"/>
          <w:b/>
          <w:i w:val="0"/>
          <w:color w:val="111111"/>
          <w:sz w:val="20"/>
        </w:rPr>
        <w:t>Taufik Suroto¹</w:t>
      </w:r>
    </w:p>
    <w:p>
      <w:pPr>
        <w:jc w:val="center"/>
      </w:pPr>
      <w:r>
        <w:rPr>
          <w:rFonts w:ascii="Times New Roman" w:hAnsi="Times New Roman"/>
          <w:b w:val="0"/>
          <w:i/>
          <w:color w:val="666666"/>
          <w:sz w:val="18"/>
        </w:rPr>
        <w:t>¹ Universitas Muhammadiyah Malang, Indonesia</w:t>
      </w:r>
    </w:p>
    <w:p>
      <w:pPr>
        <w:jc w:val="center"/>
      </w:pPr>
      <w:r>
        <w:rPr>
          <w:rFonts w:ascii="Times New Roman" w:hAnsi="Times New Roman"/>
          <w:b w:val="0"/>
          <w:i w:val="0"/>
          <w:color w:val="2F66B3"/>
          <w:sz w:val="18"/>
        </w:rPr>
        <w:t>Corresponding author: taufiksuroto7@gmail.com</w:t>
      </w:r>
    </w:p>
    <w:tbl>
      <w:tblPr>
        <w:tblW w:type="auto" w:w="0"/>
        <w:jc w:val="center"/>
        <w:tblLayout w:type="fixed"/>
        <w:tblLook w:firstColumn="1" w:firstRow="1" w:lastColumn="0" w:lastRow="0" w:noHBand="0" w:noVBand="1" w:val="04A0"/>
        <w:tblBorders>
          <w:top w:val="single" w:sz="4" w:color="AFC3E0"/>
          <w:left w:val="single" w:sz="4" w:color="AFC3E0"/>
          <w:bottom w:val="single" w:sz="4" w:color="AFC3E0"/>
          <w:right w:val="single" w:sz="4" w:color="AFC3E0"/>
          <w:insideH w:val="single" w:sz="4" w:color="AFC3E0"/>
          <w:insideV w:val="single" w:sz="4" w:color="AFC3E0"/>
        </w:tblBorders>
      </w:tblPr>
      <w:tblGrid>
        <w:gridCol w:w="2409"/>
        <w:gridCol w:w="2409"/>
        <w:gridCol w:w="2409"/>
        <w:gridCol w:w="2409"/>
      </w:tblGrid>
      <w:tr>
        <w:tc>
          <w:tcPr>
            <w:tcW w:type="dxa" w:w="2409"/>
            <w:shd w:fill="F1F3F6"/>
          </w:tcPr>
          <w:p>
            <w:r>
              <w:rPr>
                <w:rFonts w:ascii="Times New Roman" w:hAnsi="Times New Roman"/>
                <w:b/>
                <w:i w:val="0"/>
                <w:color w:val="2F66B3"/>
                <w:sz w:val="16"/>
              </w:rPr>
              <w:t>Received</w:t>
            </w:r>
          </w:p>
        </w:tc>
        <w:tc>
          <w:tcPr>
            <w:tcW w:type="dxa" w:w="2409"/>
          </w:tcPr>
          <w:p>
            <w:r>
              <w:rPr>
                <w:rFonts w:ascii="Times New Roman" w:hAnsi="Times New Roman"/>
                <w:b w:val="0"/>
                <w:i w:val="0"/>
                <w:color w:val="666666"/>
                <w:sz w:val="16"/>
              </w:rPr>
              <w:t>DD Month 2026</w:t>
            </w:r>
          </w:p>
        </w:tc>
        <w:tc>
          <w:tcPr>
            <w:tcW w:type="dxa" w:w="2409"/>
            <w:shd w:fill="F1F3F6"/>
          </w:tcPr>
          <w:p>
            <w:r>
              <w:rPr>
                <w:rFonts w:ascii="Times New Roman" w:hAnsi="Times New Roman"/>
                <w:b/>
                <w:i w:val="0"/>
                <w:color w:val="2F66B3"/>
                <w:sz w:val="16"/>
              </w:rPr>
              <w:t>Revised</w:t>
            </w:r>
          </w:p>
        </w:tc>
        <w:tc>
          <w:tcPr>
            <w:tcW w:type="dxa" w:w="2409"/>
          </w:tcPr>
          <w:p>
            <w:r>
              <w:rPr>
                <w:rFonts w:ascii="Times New Roman" w:hAnsi="Times New Roman"/>
                <w:b w:val="0"/>
                <w:i w:val="0"/>
                <w:color w:val="666666"/>
                <w:sz w:val="16"/>
              </w:rPr>
              <w:t>DD Month 2026</w:t>
            </w:r>
          </w:p>
        </w:tc>
      </w:tr>
      <w:tr>
        <w:tc>
          <w:tcPr>
            <w:tcW w:type="dxa" w:w="2409"/>
            <w:shd w:fill="F1F3F6"/>
          </w:tcPr>
          <w:p>
            <w:r>
              <w:rPr>
                <w:rFonts w:ascii="Times New Roman" w:hAnsi="Times New Roman"/>
                <w:b/>
                <w:i w:val="0"/>
                <w:color w:val="2F66B3"/>
                <w:sz w:val="16"/>
              </w:rPr>
              <w:t>Accepted</w:t>
            </w:r>
          </w:p>
        </w:tc>
        <w:tc>
          <w:tcPr>
            <w:tcW w:type="dxa" w:w="2409"/>
          </w:tcPr>
          <w:p>
            <w:r>
              <w:rPr>
                <w:rFonts w:ascii="Times New Roman" w:hAnsi="Times New Roman"/>
                <w:b w:val="0"/>
                <w:i w:val="0"/>
                <w:color w:val="666666"/>
                <w:sz w:val="16"/>
              </w:rPr>
              <w:t>DD Month 2026</w:t>
            </w:r>
          </w:p>
        </w:tc>
        <w:tc>
          <w:tcPr>
            <w:tcW w:type="dxa" w:w="2409"/>
            <w:shd w:fill="F1F3F6"/>
          </w:tcPr>
          <w:p>
            <w:r>
              <w:rPr>
                <w:rFonts w:ascii="Times New Roman" w:hAnsi="Times New Roman"/>
                <w:b/>
                <w:i w:val="0"/>
                <w:color w:val="2F66B3"/>
                <w:sz w:val="16"/>
              </w:rPr>
              <w:t>Published</w:t>
            </w:r>
          </w:p>
        </w:tc>
        <w:tc>
          <w:tcPr>
            <w:tcW w:type="dxa" w:w="2409"/>
          </w:tcPr>
          <w:p>
            <w:r>
              <w:rPr>
                <w:rFonts w:ascii="Times New Roman" w:hAnsi="Times New Roman"/>
                <w:b w:val="0"/>
                <w:i w:val="0"/>
                <w:color w:val="666666"/>
                <w:sz w:val="16"/>
              </w:rPr>
              <w:t>DD Month 2026</w:t>
            </w:r>
          </w:p>
        </w:tc>
      </w:tr>
    </w:tbl>
    <w:p>
      <w:pPr>
        <w:pStyle w:val="JASTEH1"/>
      </w:pPr>
      <w:r>
        <w:t>ABSTRACT</w:t>
      </w:r>
    </w:p>
    <w:p>
      <w:pPr>
        <w:spacing w:line="259" w:lineRule="auto" w:after="60"/>
        <w:jc w:val="both"/>
      </w:pPr>
      <w:r>
        <w:rPr>
          <w:rFonts w:ascii="Times New Roman" w:hAnsi="Times New Roman"/>
          <w:b w:val="0"/>
          <w:i/>
          <w:color w:val="111111"/>
          <w:sz w:val="20"/>
        </w:rPr>
        <w:t>Pain in osteoarthritis varies across time, activity, sleep, and environmental context, while conventional clinic-based recall may not capture short-term fluctuations. Internet of Things technology offers a means to combine repeated self-reported pain assessments with mobility and physiological measurements from wearable devices. This conceptual technical review defines design requirements for an IoT-based remote pain monitoring system for older adults with osteoarthritis. The proposed architecture includes wearable and mobile sensing, ecological momentary assessment, secure data transmission, quality control, event detection, visualization, and clinician review. The synthesis emphasizes that pain remains a subjective experience and should not be inferred solely from sensor data. Wearable measures can contextualize patient reports and identify changes that warrant review, but they should not automatically diagnose or alter treatment. Key engineering requirements include low-burden interaction, large and accessible controls, intermittent-connectivity support, timestamp synchronization, missing-data detection, encryption, role-based access, and transparent alert thresholds. Evaluation should include usability, adherence, battery performance, transmission reliability, data completeness, false-alert rate, and agreement between device records and reference measures. The framework provides a responsible pathway for developing remote monitoring systems that support clinical decision-making while preserving patient autonomy and safety.</w:t>
      </w:r>
    </w:p>
    <w:p>
      <w:r>
        <w:rPr>
          <w:rFonts w:ascii="Times New Roman" w:hAnsi="Times New Roman"/>
          <w:b/>
          <w:i w:val="0"/>
          <w:color w:val="2F66B3"/>
          <w:sz w:val="18"/>
        </w:rPr>
        <w:t xml:space="preserve">Keywords: </w:t>
      </w:r>
      <w:r>
        <w:rPr>
          <w:rFonts w:ascii="Times New Roman" w:hAnsi="Times New Roman"/>
          <w:b w:val="0"/>
          <w:i/>
          <w:color w:val="111111"/>
          <w:sz w:val="18"/>
        </w:rPr>
        <w:t>Internet of Things; remote monitoring; osteoarthritis; wearable sensor; ecological momentary assessment</w:t>
      </w:r>
    </w:p>
    <w:p>
      <w:pPr>
        <w:pStyle w:val="JASTEH1"/>
      </w:pPr>
      <w:r>
        <w:t>1. INTRODUCTION</w:t>
      </w:r>
    </w:p>
    <w:p>
      <w:pPr>
        <w:spacing w:line="259" w:lineRule="auto" w:after="80"/>
        <w:jc w:val="both"/>
      </w:pPr>
      <w:r>
        <w:rPr>
          <w:rFonts w:ascii="Times New Roman" w:hAnsi="Times New Roman"/>
          <w:b w:val="0"/>
          <w:i w:val="0"/>
          <w:color w:val="111111"/>
          <w:sz w:val="20"/>
        </w:rPr>
        <w:t>Osteoarthritis pain is dynamic. A single clinic rating can miss variations associated with walking, fatigue, sleep, medication timing, and daily routines. Osteoarthritis affects hundreds of millions of people worldwide and is a leading cause of pain and disability among older adults, with prevalence and years lived with disability continuing to rise (GBD 2021 Osteoarthritis Collaborators, 2023). Day-to-day pain variability of this kind is well documented in older adults and is associated with functional and psychological outcomes independent of mean pain level (Zakoscielna &amp; Parmelee, 2013). Repeated measurement in the natural environment can provide a richer record, but frequent manual diaries may be burdensome.</w:t>
      </w:r>
    </w:p>
    <w:p>
      <w:pPr>
        <w:spacing w:line="259" w:lineRule="auto" w:after="80"/>
        <w:jc w:val="both"/>
      </w:pPr>
      <w:r>
        <w:rPr>
          <w:rFonts w:ascii="Times New Roman" w:hAnsi="Times New Roman"/>
          <w:b w:val="0"/>
          <w:i w:val="0"/>
          <w:color w:val="111111"/>
          <w:sz w:val="20"/>
        </w:rPr>
        <w:t>Wearables and mobile applications can collect motion, location proxies, heart rate, and repeated patient-reported outcomes (Islam et al., 2015; Rose et al., 2023). These technologies create engineering challenges involving data synchronization, accessibility, connectivity, security, and interpretation. Sensor signals should complement rather than replace the patient's report of pain.</w:t>
      </w:r>
    </w:p>
    <w:p>
      <w:pPr>
        <w:pStyle w:val="JASTEH1"/>
      </w:pPr>
      <w:r>
        <w:t>2. BACKGROUND AND PROBLEM FORMULATION</w:t>
      </w:r>
    </w:p>
    <w:p>
      <w:pPr>
        <w:spacing w:line="259" w:lineRule="auto" w:after="80"/>
        <w:jc w:val="both"/>
      </w:pPr>
      <w:r>
        <w:rPr>
          <w:rFonts w:ascii="Times New Roman" w:hAnsi="Times New Roman"/>
          <w:b w:val="0"/>
          <w:i w:val="0"/>
          <w:color w:val="111111"/>
          <w:sz w:val="20"/>
        </w:rPr>
        <w:t>The engineering problem addressed in this article concerns IoT-enabled remote pain monitoring for older adults with osteoarthritis. The central difficulty is that a single clinic pain score misses variation across activity, sleep, mobility, medication timing, and the home environment. A useful design must therefore separate observable signals from interpretation, document uncertainty, and preserve a clear route for human verification. The proposed contribution is a person-centred IoT monitoring architecture that supports rather than replaces clinical judgement, expressed as a testable architecture rather than as a claim of completed field performance.</w:t>
      </w:r>
    </w:p>
    <w:p>
      <w:pPr>
        <w:spacing w:line="259" w:lineRule="auto" w:after="80"/>
        <w:jc w:val="both"/>
      </w:pPr>
      <w:r>
        <w:rPr>
          <w:rFonts w:ascii="Times New Roman" w:hAnsi="Times New Roman"/>
          <w:b w:val="0"/>
          <w:i w:val="0"/>
          <w:color w:val="111111"/>
          <w:sz w:val="20"/>
        </w:rPr>
        <w:t>The intended evidence base combines peer-reviewed technical studies, recognised evaluation practices, and implementation constraints reported for comparable systems. The synthesis treats self-reported pain, wearable activity and sleep indicators, mobility context, device status, timestamps, adherence information, and optional caregiver observations as potential inputs whose availability, quality, legality, and relevance must be assessed before use. No input is assumed to be complete or intrinsically trustworthy; provenance and quality controls are part of the system boundary.</w:t>
      </w:r>
    </w:p>
    <w:p>
      <w:pPr>
        <w:spacing w:line="259" w:lineRule="auto" w:after="80"/>
        <w:jc w:val="both"/>
      </w:pPr>
      <w:r>
        <w:rPr>
          <w:rFonts w:ascii="Times New Roman" w:hAnsi="Times New Roman"/>
          <w:b w:val="0"/>
          <w:i w:val="0"/>
          <w:color w:val="111111"/>
          <w:sz w:val="20"/>
        </w:rPr>
        <w:t>The main design layers are accessible data capture, edge checks, secure transmission, data-quality monitoring, longitudinal summarisation, configurable alerts, clinician dashboard, and consent management. These layers are connected by explicit interfaces so that a failure can be traced to acquisition, processing, decision logic, user interaction, or governance. This decomposition also supports modular testing: one component can be replaced or recalibrated without treating the entire pipeline as an unexplained black box.</w:t>
      </w:r>
    </w:p>
    <w:p>
      <w:pPr>
        <w:spacing w:line="259" w:lineRule="auto" w:after="80"/>
        <w:jc w:val="both"/>
      </w:pPr>
      <w:r>
        <w:rPr>
          <w:rFonts w:ascii="Times New Roman" w:hAnsi="Times New Roman"/>
          <w:b w:val="0"/>
          <w:i w:val="0"/>
          <w:color w:val="111111"/>
          <w:sz w:val="20"/>
        </w:rPr>
        <w:t>The framework is intended for older adults, caregivers, nurses, physicians, rehabilitation professionals, biomedical engineers, and service administrators. Their needs are not identical. Technical personnel require reproducibility and observability, domain professionals require interpretable and bounded outputs, administrators require accountability and maintainability, and end users require accessible interaction and protection from avoidable harm. Requirements should therefore be negotiated across stakeholders before prototype development.</w:t>
      </w:r>
    </w:p>
    <w:p>
      <w:pPr>
        <w:spacing w:before="100" w:after="60"/>
        <w:jc w:val="center"/>
      </w:pPr>
      <w:r>
        <w:rPr>
          <w:rFonts w:ascii="Times New Roman" w:hAnsi="Times New Roman"/>
          <w:b/>
          <w:i w:val="0"/>
          <w:color w:val="111111"/>
          <w:sz w:val="18"/>
        </w:rPr>
        <w:t>Table 1. Problem Context and Design Response</w:t>
      </w:r>
    </w:p>
    <w:tbl>
      <w:tblPr>
        <w:tblW w:type="auto" w:w="0"/>
        <w:jc w:val="center"/>
        <w:tblLayout w:type="fixed"/>
        <w:tblLook w:firstColumn="1" w:firstRow="1" w:lastColumn="0" w:lastRow="0" w:noHBand="0" w:noVBand="1" w:val="04A0"/>
        <w:tblBorders>
          <w:top w:val="single" w:sz="4" w:color="AFC3E0"/>
          <w:left w:val="single" w:sz="4" w:color="AFC3E0"/>
          <w:bottom w:val="single" w:sz="4" w:color="AFC3E0"/>
          <w:right w:val="single" w:sz="4" w:color="AFC3E0"/>
          <w:insideH w:val="single" w:sz="4" w:color="AFC3E0"/>
          <w:insideV w:val="single" w:sz="4" w:color="AFC3E0"/>
        </w:tblBorders>
      </w:tblPr>
      <w:tblGrid>
        <w:gridCol w:w="3213"/>
        <w:gridCol w:w="3213"/>
        <w:gridCol w:w="3213"/>
      </w:tblGrid>
      <w:tr>
        <w:tc>
          <w:tcPr>
            <w:tcW w:type="dxa" w:w="3213"/>
            <w:shd w:fill="2F66B3"/>
          </w:tcPr>
          <w:p>
            <w:pPr>
              <w:jc w:val="center"/>
            </w:pPr>
            <w:r>
              <w:rPr>
                <w:rFonts w:ascii="Times New Roman" w:hAnsi="Times New Roman"/>
                <w:b/>
                <w:i w:val="0"/>
                <w:color w:val="FFFFFF"/>
                <w:sz w:val="15"/>
              </w:rPr>
              <w:t>Dimension</w:t>
            </w:r>
          </w:p>
        </w:tc>
        <w:tc>
          <w:tcPr>
            <w:tcW w:type="dxa" w:w="3213"/>
            <w:shd w:fill="2F66B3"/>
          </w:tcPr>
          <w:p>
            <w:pPr>
              <w:jc w:val="center"/>
            </w:pPr>
            <w:r>
              <w:rPr>
                <w:rFonts w:ascii="Times New Roman" w:hAnsi="Times New Roman"/>
                <w:b/>
                <w:i w:val="0"/>
                <w:color w:val="FFFFFF"/>
                <w:sz w:val="15"/>
              </w:rPr>
              <w:t>Engineering concern</w:t>
            </w:r>
          </w:p>
        </w:tc>
        <w:tc>
          <w:tcPr>
            <w:tcW w:type="dxa" w:w="3213"/>
            <w:shd w:fill="2F66B3"/>
          </w:tcPr>
          <w:p>
            <w:pPr>
              <w:jc w:val="center"/>
            </w:pPr>
            <w:r>
              <w:rPr>
                <w:rFonts w:ascii="Times New Roman" w:hAnsi="Times New Roman"/>
                <w:b/>
                <w:i w:val="0"/>
                <w:color w:val="FFFFFF"/>
                <w:sz w:val="15"/>
              </w:rPr>
              <w:t>Required response</w:t>
            </w:r>
          </w:p>
        </w:tc>
      </w:tr>
      <w:tr>
        <w:tc>
          <w:tcPr>
            <w:tcW w:type="dxa" w:w="3213"/>
            <w:vAlign w:val="center"/>
          </w:tcPr>
          <w:p>
            <w:pPr>
              <w:spacing w:after="0"/>
            </w:pPr>
            <w:r>
              <w:rPr>
                <w:rFonts w:ascii="Times New Roman" w:hAnsi="Times New Roman"/>
                <w:b w:val="0"/>
                <w:i w:val="0"/>
                <w:color w:val="111111"/>
                <w:sz w:val="15"/>
              </w:rPr>
              <w:t>Evidence</w:t>
            </w:r>
          </w:p>
        </w:tc>
        <w:tc>
          <w:tcPr>
            <w:tcW w:type="dxa" w:w="3213"/>
            <w:vAlign w:val="center"/>
          </w:tcPr>
          <w:p>
            <w:pPr>
              <w:spacing w:after="0"/>
            </w:pPr>
            <w:r>
              <w:rPr>
                <w:rFonts w:ascii="Times New Roman" w:hAnsi="Times New Roman"/>
                <w:b w:val="0"/>
                <w:i w:val="0"/>
                <w:color w:val="111111"/>
                <w:sz w:val="15"/>
              </w:rPr>
              <w:t>Incomplete or context-dependent inputs</w:t>
            </w:r>
          </w:p>
        </w:tc>
        <w:tc>
          <w:tcPr>
            <w:tcW w:type="dxa" w:w="3213"/>
            <w:vAlign w:val="center"/>
          </w:tcPr>
          <w:p>
            <w:pPr>
              <w:spacing w:after="0"/>
            </w:pPr>
            <w:r>
              <w:rPr>
                <w:rFonts w:ascii="Times New Roman" w:hAnsi="Times New Roman"/>
                <w:b w:val="0"/>
                <w:i w:val="0"/>
                <w:color w:val="111111"/>
                <w:sz w:val="15"/>
              </w:rPr>
              <w:t>Provenance and quality controls</w:t>
            </w:r>
          </w:p>
        </w:tc>
      </w:tr>
      <w:tr>
        <w:tc>
          <w:tcPr>
            <w:tcW w:type="dxa" w:w="3213"/>
            <w:vAlign w:val="center"/>
          </w:tcPr>
          <w:p>
            <w:pPr>
              <w:spacing w:after="0"/>
            </w:pPr>
            <w:r>
              <w:rPr>
                <w:rFonts w:ascii="Times New Roman" w:hAnsi="Times New Roman"/>
                <w:b w:val="0"/>
                <w:i w:val="0"/>
                <w:color w:val="111111"/>
                <w:sz w:val="15"/>
              </w:rPr>
              <w:t>Processing</w:t>
            </w:r>
          </w:p>
        </w:tc>
        <w:tc>
          <w:tcPr>
            <w:tcW w:type="dxa" w:w="3213"/>
            <w:vAlign w:val="center"/>
          </w:tcPr>
          <w:p>
            <w:pPr>
              <w:spacing w:after="0"/>
            </w:pPr>
            <w:r>
              <w:rPr>
                <w:rFonts w:ascii="Times New Roman" w:hAnsi="Times New Roman"/>
                <w:b w:val="0"/>
                <w:i w:val="0"/>
                <w:color w:val="111111"/>
                <w:sz w:val="15"/>
              </w:rPr>
              <w:t>Version-sensitive transformations</w:t>
            </w:r>
          </w:p>
        </w:tc>
        <w:tc>
          <w:tcPr>
            <w:tcW w:type="dxa" w:w="3213"/>
            <w:vAlign w:val="center"/>
          </w:tcPr>
          <w:p>
            <w:pPr>
              <w:spacing w:after="0"/>
            </w:pPr>
            <w:r>
              <w:rPr>
                <w:rFonts w:ascii="Times New Roman" w:hAnsi="Times New Roman"/>
                <w:b w:val="0"/>
                <w:i w:val="0"/>
                <w:color w:val="111111"/>
                <w:sz w:val="15"/>
              </w:rPr>
              <w:t>Observable modular services</w:t>
            </w:r>
          </w:p>
        </w:tc>
      </w:tr>
      <w:tr>
        <w:tc>
          <w:tcPr>
            <w:tcW w:type="dxa" w:w="3213"/>
            <w:vAlign w:val="center"/>
          </w:tcPr>
          <w:p>
            <w:pPr>
              <w:spacing w:after="0"/>
            </w:pPr>
            <w:r>
              <w:rPr>
                <w:rFonts w:ascii="Times New Roman" w:hAnsi="Times New Roman"/>
                <w:b w:val="0"/>
                <w:i w:val="0"/>
                <w:color w:val="111111"/>
                <w:sz w:val="15"/>
              </w:rPr>
              <w:t>Decision</w:t>
            </w:r>
          </w:p>
        </w:tc>
        <w:tc>
          <w:tcPr>
            <w:tcW w:type="dxa" w:w="3213"/>
            <w:vAlign w:val="center"/>
          </w:tcPr>
          <w:p>
            <w:pPr>
              <w:spacing w:after="0"/>
            </w:pPr>
            <w:r>
              <w:rPr>
                <w:rFonts w:ascii="Times New Roman" w:hAnsi="Times New Roman"/>
                <w:b w:val="0"/>
                <w:i w:val="0"/>
                <w:color w:val="111111"/>
                <w:sz w:val="15"/>
              </w:rPr>
              <w:t>Uncertainty and asymmetric error costs</w:t>
            </w:r>
          </w:p>
        </w:tc>
        <w:tc>
          <w:tcPr>
            <w:tcW w:type="dxa" w:w="3213"/>
            <w:vAlign w:val="center"/>
          </w:tcPr>
          <w:p>
            <w:pPr>
              <w:spacing w:after="0"/>
            </w:pPr>
            <w:r>
              <w:rPr>
                <w:rFonts w:ascii="Times New Roman" w:hAnsi="Times New Roman"/>
                <w:b w:val="0"/>
                <w:i w:val="0"/>
                <w:color w:val="111111"/>
                <w:sz w:val="15"/>
              </w:rPr>
              <w:t>Calibration, abstention, escalation</w:t>
            </w:r>
          </w:p>
        </w:tc>
      </w:tr>
      <w:tr>
        <w:tc>
          <w:tcPr>
            <w:tcW w:type="dxa" w:w="3213"/>
            <w:vAlign w:val="center"/>
          </w:tcPr>
          <w:p>
            <w:pPr>
              <w:spacing w:after="0"/>
            </w:pPr>
            <w:r>
              <w:rPr>
                <w:rFonts w:ascii="Times New Roman" w:hAnsi="Times New Roman"/>
                <w:b w:val="0"/>
                <w:i w:val="0"/>
                <w:color w:val="111111"/>
                <w:sz w:val="15"/>
              </w:rPr>
              <w:t>Use</w:t>
            </w:r>
          </w:p>
        </w:tc>
        <w:tc>
          <w:tcPr>
            <w:tcW w:type="dxa" w:w="3213"/>
            <w:vAlign w:val="center"/>
          </w:tcPr>
          <w:p>
            <w:pPr>
              <w:spacing w:after="0"/>
            </w:pPr>
            <w:r>
              <w:rPr>
                <w:rFonts w:ascii="Times New Roman" w:hAnsi="Times New Roman"/>
                <w:b w:val="0"/>
                <w:i w:val="0"/>
                <w:color w:val="111111"/>
                <w:sz w:val="15"/>
              </w:rPr>
              <w:t>Different stakeholder needs</w:t>
            </w:r>
          </w:p>
        </w:tc>
        <w:tc>
          <w:tcPr>
            <w:tcW w:type="dxa" w:w="3213"/>
            <w:vAlign w:val="center"/>
          </w:tcPr>
          <w:p>
            <w:pPr>
              <w:spacing w:after="0"/>
            </w:pPr>
            <w:r>
              <w:rPr>
                <w:rFonts w:ascii="Times New Roman" w:hAnsi="Times New Roman"/>
                <w:b w:val="0"/>
                <w:i w:val="0"/>
                <w:color w:val="111111"/>
                <w:sz w:val="15"/>
              </w:rPr>
              <w:t>Role-based and accessible interfaces</w:t>
            </w:r>
          </w:p>
        </w:tc>
      </w:tr>
    </w:tbl>
    <w:p>
      <w:pPr>
        <w:spacing w:line="259" w:lineRule="auto" w:after="80"/>
        <w:jc w:val="both"/>
      </w:pPr>
      <w:r>
        <w:rPr>
          <w:rFonts w:ascii="Times New Roman" w:hAnsi="Times New Roman"/>
          <w:b w:val="0"/>
          <w:i w:val="0"/>
          <w:color w:val="111111"/>
          <w:sz w:val="20"/>
        </w:rPr>
        <w:t>A requirements baseline should translate this problem formulation into verifiable statements. For IoT-enabled remote pain monitoring for older adults with osteoarthritis, each requirement should identify the triggering condition, expected response, measurable acceptance criterion, and responsible reviewer. Traceability is important because later changes to data, software, devices, or workflow can otherwise disconnect implementation from the original purpose. The baseline should also record explicit non-goals so that users do not infer unsupported functions from the presence of an advanced technical component.</w:t>
      </w:r>
    </w:p>
    <w:p>
      <w:pPr>
        <w:pStyle w:val="JASTEH1"/>
      </w:pPr>
      <w:r>
        <w:t>3. REVIEW METHOD</w:t>
      </w:r>
    </w:p>
    <w:p>
      <w:pPr>
        <w:spacing w:line="259" w:lineRule="auto" w:after="80"/>
        <w:jc w:val="both"/>
      </w:pPr>
      <w:r>
        <w:rPr>
          <w:rFonts w:ascii="Times New Roman" w:hAnsi="Times New Roman"/>
          <w:b w:val="0"/>
          <w:i w:val="0"/>
          <w:color w:val="111111"/>
          <w:sz w:val="20"/>
        </w:rPr>
        <w:t>Peer-reviewed studies on smartwatch-based ecological pain assessment, remote monitoring, usability in older adults, and medical IoT security were synthesized through a structured narrative approach (Islam et al., 2015; Laborde et al., 2021; May et al., 2018; Wani et al., 2024). Evidence was organized into sensing, communication, analytics, user interaction, and governance requirements.</w:t>
      </w:r>
    </w:p>
    <w:p>
      <w:pPr>
        <w:spacing w:line="259" w:lineRule="auto" w:after="80"/>
        <w:jc w:val="both"/>
      </w:pPr>
      <w:r>
        <w:rPr>
          <w:rFonts w:ascii="Times New Roman" w:hAnsi="Times New Roman"/>
          <w:b w:val="0"/>
          <w:i w:val="0"/>
          <w:color w:val="111111"/>
          <w:sz w:val="20"/>
        </w:rPr>
        <w:t>The proposed design intentionally excludes automated diagnosis and treatment recommendations. Its purpose is monitoring and decision support under professional supervision.</w:t>
      </w:r>
    </w:p>
    <w:p>
      <w:pPr>
        <w:spacing w:line="259" w:lineRule="auto" w:after="80"/>
        <w:jc w:val="both"/>
      </w:pPr>
      <w:r>
        <w:rPr>
          <w:rFonts w:ascii="Times New Roman" w:hAnsi="Times New Roman"/>
          <w:b w:val="0"/>
          <w:i w:val="0"/>
          <w:color w:val="111111"/>
          <w:sz w:val="20"/>
        </w:rPr>
        <w:t>The analytical procedure used five stages: problem-boundary definition, extraction of technical requirements, mapping of system components, specification of evaluation criteria, and synthesis of implementation safeguards. Evidence was used to justify design choices and expose limitations; it was not pooled statistically because the included sources differ in tasks, data, devices, and outcome definitions.</w:t>
      </w:r>
    </w:p>
    <w:p>
      <w:pPr>
        <w:spacing w:line="259" w:lineRule="auto" w:after="80"/>
        <w:jc w:val="both"/>
      </w:pPr>
      <w:r>
        <w:rPr>
          <w:rFonts w:ascii="Times New Roman" w:hAnsi="Times New Roman"/>
          <w:b w:val="0"/>
          <w:i w:val="0"/>
          <w:color w:val="111111"/>
          <w:sz w:val="20"/>
        </w:rPr>
        <w:t>Quality appraisal prioritised clarity of the technical procedure, relevance to the proposed component, transparency of evaluation, and transferability to the intended context. Sources were treated as stronger when they documented data provenance, comparison conditions, limitations, and reproducible parameters. The review retains contradictory or cautionary evidence because implementation decisions require knowledge of failure conditions.</w:t>
      </w:r>
    </w:p>
    <w:p>
      <w:pPr>
        <w:pStyle w:val="JASTEH2"/>
      </w:pPr>
      <w:r>
        <w:t>3.1 Review Questions</w:t>
      </w:r>
    </w:p>
    <w:p>
      <w:pPr>
        <w:spacing w:line="259" w:lineRule="auto" w:after="80"/>
        <w:jc w:val="both"/>
      </w:pPr>
      <w:r>
        <w:rPr>
          <w:rFonts w:ascii="Times New Roman" w:hAnsi="Times New Roman"/>
          <w:b w:val="0"/>
          <w:i w:val="0"/>
          <w:color w:val="111111"/>
          <w:sz w:val="20"/>
        </w:rPr>
        <w:t>The review asked four questions: What information must the system acquire? How should processing and decision components exchange evidence? Which technical and human-centred measures are required for validation? What controls are necessary for responsible deployment and maintenance? These questions provide traceability from the literature to the proposed framework.</w:t>
      </w:r>
    </w:p>
    <w:p>
      <w:pPr>
        <w:spacing w:before="100" w:after="60"/>
        <w:jc w:val="center"/>
      </w:pPr>
      <w:r>
        <w:rPr>
          <w:rFonts w:ascii="Times New Roman" w:hAnsi="Times New Roman"/>
          <w:b/>
          <w:i w:val="0"/>
          <w:color w:val="111111"/>
          <w:sz w:val="18"/>
        </w:rPr>
        <w:t>Table 2. Evidence-Extraction Framework</w:t>
      </w:r>
    </w:p>
    <w:tbl>
      <w:tblPr>
        <w:tblW w:type="auto" w:w="0"/>
        <w:jc w:val="center"/>
        <w:tblLayout w:type="fixed"/>
        <w:tblLook w:firstColumn="1" w:firstRow="1" w:lastColumn="0" w:lastRow="0" w:noHBand="0" w:noVBand="1" w:val="04A0"/>
        <w:tblBorders>
          <w:top w:val="single" w:sz="4" w:color="AFC3E0"/>
          <w:left w:val="single" w:sz="4" w:color="AFC3E0"/>
          <w:bottom w:val="single" w:sz="4" w:color="AFC3E0"/>
          <w:right w:val="single" w:sz="4" w:color="AFC3E0"/>
          <w:insideH w:val="single" w:sz="4" w:color="AFC3E0"/>
          <w:insideV w:val="single" w:sz="4" w:color="AFC3E0"/>
        </w:tblBorders>
      </w:tblPr>
      <w:tblGrid>
        <w:gridCol w:w="3213"/>
        <w:gridCol w:w="3213"/>
        <w:gridCol w:w="3213"/>
      </w:tblGrid>
      <w:tr>
        <w:tc>
          <w:tcPr>
            <w:tcW w:type="dxa" w:w="3213"/>
            <w:shd w:fill="2F66B3"/>
          </w:tcPr>
          <w:p>
            <w:pPr>
              <w:jc w:val="center"/>
            </w:pPr>
            <w:r>
              <w:rPr>
                <w:rFonts w:ascii="Times New Roman" w:hAnsi="Times New Roman"/>
                <w:b/>
                <w:i w:val="0"/>
                <w:color w:val="FFFFFF"/>
                <w:sz w:val="15"/>
              </w:rPr>
              <w:t>Review question</w:t>
            </w:r>
          </w:p>
        </w:tc>
        <w:tc>
          <w:tcPr>
            <w:tcW w:type="dxa" w:w="3213"/>
            <w:shd w:fill="2F66B3"/>
          </w:tcPr>
          <w:p>
            <w:pPr>
              <w:jc w:val="center"/>
            </w:pPr>
            <w:r>
              <w:rPr>
                <w:rFonts w:ascii="Times New Roman" w:hAnsi="Times New Roman"/>
                <w:b/>
                <w:i w:val="0"/>
                <w:color w:val="FFFFFF"/>
                <w:sz w:val="15"/>
              </w:rPr>
              <w:t>Extracted evidence</w:t>
            </w:r>
          </w:p>
        </w:tc>
        <w:tc>
          <w:tcPr>
            <w:tcW w:type="dxa" w:w="3213"/>
            <w:shd w:fill="2F66B3"/>
          </w:tcPr>
          <w:p>
            <w:pPr>
              <w:jc w:val="center"/>
            </w:pPr>
            <w:r>
              <w:rPr>
                <w:rFonts w:ascii="Times New Roman" w:hAnsi="Times New Roman"/>
                <w:b/>
                <w:i w:val="0"/>
                <w:color w:val="FFFFFF"/>
                <w:sz w:val="15"/>
              </w:rPr>
              <w:t>Design output</w:t>
            </w:r>
          </w:p>
        </w:tc>
      </w:tr>
      <w:tr>
        <w:tc>
          <w:tcPr>
            <w:tcW w:type="dxa" w:w="3213"/>
            <w:vAlign w:val="center"/>
          </w:tcPr>
          <w:p>
            <w:pPr>
              <w:spacing w:after="0"/>
            </w:pPr>
            <w:r>
              <w:rPr>
                <w:rFonts w:ascii="Times New Roman" w:hAnsi="Times New Roman"/>
                <w:b w:val="0"/>
                <w:i w:val="0"/>
                <w:color w:val="111111"/>
                <w:sz w:val="15"/>
              </w:rPr>
              <w:t>Inputs</w:t>
            </w:r>
          </w:p>
        </w:tc>
        <w:tc>
          <w:tcPr>
            <w:tcW w:type="dxa" w:w="3213"/>
            <w:vAlign w:val="center"/>
          </w:tcPr>
          <w:p>
            <w:pPr>
              <w:spacing w:after="0"/>
            </w:pPr>
            <w:r>
              <w:rPr>
                <w:rFonts w:ascii="Times New Roman" w:hAnsi="Times New Roman"/>
                <w:b w:val="0"/>
                <w:i w:val="0"/>
                <w:color w:val="111111"/>
                <w:sz w:val="15"/>
              </w:rPr>
              <w:t>Source, format, quality, context</w:t>
            </w:r>
          </w:p>
        </w:tc>
        <w:tc>
          <w:tcPr>
            <w:tcW w:type="dxa" w:w="3213"/>
            <w:vAlign w:val="center"/>
          </w:tcPr>
          <w:p>
            <w:pPr>
              <w:spacing w:after="0"/>
            </w:pPr>
            <w:r>
              <w:rPr>
                <w:rFonts w:ascii="Times New Roman" w:hAnsi="Times New Roman"/>
                <w:b w:val="0"/>
                <w:i w:val="0"/>
                <w:color w:val="111111"/>
                <w:sz w:val="15"/>
              </w:rPr>
              <w:t>Data specification</w:t>
            </w:r>
          </w:p>
        </w:tc>
      </w:tr>
      <w:tr>
        <w:tc>
          <w:tcPr>
            <w:tcW w:type="dxa" w:w="3213"/>
            <w:vAlign w:val="center"/>
          </w:tcPr>
          <w:p>
            <w:pPr>
              <w:spacing w:after="0"/>
            </w:pPr>
            <w:r>
              <w:rPr>
                <w:rFonts w:ascii="Times New Roman" w:hAnsi="Times New Roman"/>
                <w:b w:val="0"/>
                <w:i w:val="0"/>
                <w:color w:val="111111"/>
                <w:sz w:val="15"/>
              </w:rPr>
              <w:t>Architecture</w:t>
            </w:r>
          </w:p>
        </w:tc>
        <w:tc>
          <w:tcPr>
            <w:tcW w:type="dxa" w:w="3213"/>
            <w:vAlign w:val="center"/>
          </w:tcPr>
          <w:p>
            <w:pPr>
              <w:spacing w:after="0"/>
            </w:pPr>
            <w:r>
              <w:rPr>
                <w:rFonts w:ascii="Times New Roman" w:hAnsi="Times New Roman"/>
                <w:b w:val="0"/>
                <w:i w:val="0"/>
                <w:color w:val="111111"/>
                <w:sz w:val="15"/>
              </w:rPr>
              <w:t>Methods, interfaces, dependencies</w:t>
            </w:r>
          </w:p>
        </w:tc>
        <w:tc>
          <w:tcPr>
            <w:tcW w:type="dxa" w:w="3213"/>
            <w:vAlign w:val="center"/>
          </w:tcPr>
          <w:p>
            <w:pPr>
              <w:spacing w:after="0"/>
            </w:pPr>
            <w:r>
              <w:rPr>
                <w:rFonts w:ascii="Times New Roman" w:hAnsi="Times New Roman"/>
                <w:b w:val="0"/>
                <w:i w:val="0"/>
                <w:color w:val="111111"/>
                <w:sz w:val="15"/>
              </w:rPr>
              <w:t>Component model</w:t>
            </w:r>
          </w:p>
        </w:tc>
      </w:tr>
      <w:tr>
        <w:tc>
          <w:tcPr>
            <w:tcW w:type="dxa" w:w="3213"/>
            <w:vAlign w:val="center"/>
          </w:tcPr>
          <w:p>
            <w:pPr>
              <w:spacing w:after="0"/>
            </w:pPr>
            <w:r>
              <w:rPr>
                <w:rFonts w:ascii="Times New Roman" w:hAnsi="Times New Roman"/>
                <w:b w:val="0"/>
                <w:i w:val="0"/>
                <w:color w:val="111111"/>
                <w:sz w:val="15"/>
              </w:rPr>
              <w:t>Evaluation</w:t>
            </w:r>
          </w:p>
        </w:tc>
        <w:tc>
          <w:tcPr>
            <w:tcW w:type="dxa" w:w="3213"/>
            <w:vAlign w:val="center"/>
          </w:tcPr>
          <w:p>
            <w:pPr>
              <w:spacing w:after="0"/>
            </w:pPr>
            <w:r>
              <w:rPr>
                <w:rFonts w:ascii="Times New Roman" w:hAnsi="Times New Roman"/>
                <w:b w:val="0"/>
                <w:i w:val="0"/>
                <w:color w:val="111111"/>
                <w:sz w:val="15"/>
              </w:rPr>
              <w:t>Metrics, datasets, comparison</w:t>
            </w:r>
          </w:p>
        </w:tc>
        <w:tc>
          <w:tcPr>
            <w:tcW w:type="dxa" w:w="3213"/>
            <w:vAlign w:val="center"/>
          </w:tcPr>
          <w:p>
            <w:pPr>
              <w:spacing w:after="0"/>
            </w:pPr>
            <w:r>
              <w:rPr>
                <w:rFonts w:ascii="Times New Roman" w:hAnsi="Times New Roman"/>
                <w:b w:val="0"/>
                <w:i w:val="0"/>
                <w:color w:val="111111"/>
                <w:sz w:val="15"/>
              </w:rPr>
              <w:t>Validation protocol</w:t>
            </w:r>
          </w:p>
        </w:tc>
      </w:tr>
      <w:tr>
        <w:tc>
          <w:tcPr>
            <w:tcW w:type="dxa" w:w="3213"/>
            <w:vAlign w:val="center"/>
          </w:tcPr>
          <w:p>
            <w:pPr>
              <w:spacing w:after="0"/>
            </w:pPr>
            <w:r>
              <w:rPr>
                <w:rFonts w:ascii="Times New Roman" w:hAnsi="Times New Roman"/>
                <w:b w:val="0"/>
                <w:i w:val="0"/>
                <w:color w:val="111111"/>
                <w:sz w:val="15"/>
              </w:rPr>
              <w:t>Deployment</w:t>
            </w:r>
          </w:p>
        </w:tc>
        <w:tc>
          <w:tcPr>
            <w:tcW w:type="dxa" w:w="3213"/>
            <w:vAlign w:val="center"/>
          </w:tcPr>
          <w:p>
            <w:pPr>
              <w:spacing w:after="0"/>
            </w:pPr>
            <w:r>
              <w:rPr>
                <w:rFonts w:ascii="Times New Roman" w:hAnsi="Times New Roman"/>
                <w:b w:val="0"/>
                <w:i w:val="0"/>
                <w:color w:val="111111"/>
                <w:sz w:val="15"/>
              </w:rPr>
              <w:t>Risks, users, controls</w:t>
            </w:r>
          </w:p>
        </w:tc>
        <w:tc>
          <w:tcPr>
            <w:tcW w:type="dxa" w:w="3213"/>
            <w:vAlign w:val="center"/>
          </w:tcPr>
          <w:p>
            <w:pPr>
              <w:spacing w:after="0"/>
            </w:pPr>
            <w:r>
              <w:rPr>
                <w:rFonts w:ascii="Times New Roman" w:hAnsi="Times New Roman"/>
                <w:b w:val="0"/>
                <w:i w:val="0"/>
                <w:color w:val="111111"/>
                <w:sz w:val="15"/>
              </w:rPr>
              <w:t>Governance plan</w:t>
            </w:r>
          </w:p>
        </w:tc>
      </w:tr>
    </w:tbl>
    <w:p>
      <w:pPr>
        <w:spacing w:line="259" w:lineRule="auto" w:after="80"/>
        <w:jc w:val="both"/>
      </w:pPr>
      <w:r>
        <w:rPr>
          <w:rFonts w:ascii="Times New Roman" w:hAnsi="Times New Roman"/>
          <w:b w:val="0"/>
          <w:i w:val="0"/>
          <w:color w:val="111111"/>
          <w:sz w:val="20"/>
        </w:rPr>
        <w:t>Synthesis decisions were documented by linking each proposed component to the type of evidence that supports it. When sources disagreed, the framework adopted the more conservative interpretation and converted the disagreement into a validation requirement. This approach prevents selective citation of only favourable results and makes uncertainty visible to later developers and reviewers. The resulting framework is therefore best understood as a reasoned technical specification that remains open to revision after empirical testing.</w:t>
      </w:r>
    </w:p>
    <w:p>
      <w:pPr>
        <w:pStyle w:val="JASTEH1"/>
      </w:pPr>
      <w:r>
        <w:t>4. PROPOSED SYSTEM ARCHITECTURE</w:t>
      </w:r>
    </w:p>
    <w:p>
      <w:pPr>
        <w:pStyle w:val="JASTEH2"/>
      </w:pPr>
      <w:r>
        <w:t>4.1 Input and Data Layer</w:t>
      </w:r>
    </w:p>
    <w:p>
      <w:pPr>
        <w:spacing w:line="259" w:lineRule="auto" w:after="80"/>
        <w:jc w:val="both"/>
      </w:pPr>
      <w:r>
        <w:rPr>
          <w:rFonts w:ascii="Times New Roman" w:hAnsi="Times New Roman"/>
          <w:b w:val="0"/>
          <w:i w:val="0"/>
          <w:color w:val="111111"/>
          <w:sz w:val="20"/>
        </w:rPr>
        <w:t>System requirements begin with an operational definition of the target problem and a documented decision boundary. The data model should represent self-reported pain, wearable activity and sleep indicators, mobility context, device status, timestamps, adherence information, and optional caregiver observations. Required and optional fields must be distinguished, validation rules must be machine-readable, and every transformation should retain a link to its source. Ecological momentary assessment provides a validated approach for capturing repeated, low-recall-bias pain reports in natural settings, although protocol design and completion rates strongly influence data quality (May et al., 2018; Ono et al., 2019). Records that fail minimum quality criteria should be quarantined rather than silently imputed into a decision.</w:t>
      </w:r>
    </w:p>
    <w:p>
      <w:pPr>
        <w:pStyle w:val="JASTEH2"/>
      </w:pPr>
      <w:r>
        <w:t>4.2 Processing and Analytical Layer</w:t>
      </w:r>
    </w:p>
    <w:p>
      <w:pPr>
        <w:spacing w:line="259" w:lineRule="auto" w:after="80"/>
        <w:jc w:val="both"/>
      </w:pPr>
      <w:r>
        <w:rPr>
          <w:rFonts w:ascii="Times New Roman" w:hAnsi="Times New Roman"/>
          <w:b w:val="0"/>
          <w:i w:val="0"/>
          <w:color w:val="111111"/>
          <w:sz w:val="20"/>
        </w:rPr>
        <w:t>Processing should be organised as a sequence of observable services covering accessible data capture, edge checks, secure transmission, data-quality monitoring, longitudinal summarisation, configurable alerts, clinician dashboard, and consent management. Each service should record its software version, configuration, input checksum, output status, processing time, and warnings. Reproducibility depends on these records because the same nominal method may behave differently after library, device, model, or platform updates. Home-based wearable measures of gait and functional activity can show good test-retest reliability but only moderate-to-good agreement with laboratory-collected reference measures, underscoring the need for context-aware interpretation of sensor output (Rose et al., 2023).</w:t>
      </w:r>
    </w:p>
    <w:p>
      <w:pPr>
        <w:pStyle w:val="JASTEH2"/>
      </w:pPr>
      <w:r>
        <w:t>4.3 Decision and Oversight Layer</w:t>
      </w:r>
    </w:p>
    <w:p>
      <w:pPr>
        <w:spacing w:line="259" w:lineRule="auto" w:after="80"/>
        <w:jc w:val="both"/>
      </w:pPr>
      <w:r>
        <w:rPr>
          <w:rFonts w:ascii="Times New Roman" w:hAnsi="Times New Roman"/>
          <w:b w:val="0"/>
          <w:i w:val="0"/>
          <w:color w:val="111111"/>
          <w:sz w:val="20"/>
        </w:rPr>
        <w:t>Decision logic should communicate both the recommended action and the strength of the supporting evidence. A calibrated score is preferable to an unexplained binary label when uncertainty is material. Thresholds should be selected for the operational cost of false acceptance and false rejection, then reviewed with domain experts. Borderline cases should be escalated rather than forced into confident categories.</w:t>
      </w:r>
    </w:p>
    <w:p>
      <w:pPr>
        <w:pStyle w:val="JASTEH2"/>
      </w:pPr>
      <w:r>
        <w:t>4.4 Interface and Explanation Layer</w:t>
      </w:r>
    </w:p>
    <w:p>
      <w:pPr>
        <w:spacing w:line="259" w:lineRule="auto" w:after="80"/>
        <w:jc w:val="both"/>
      </w:pPr>
      <w:r>
        <w:rPr>
          <w:rFonts w:ascii="Times New Roman" w:hAnsi="Times New Roman"/>
          <w:b w:val="0"/>
          <w:i w:val="0"/>
          <w:color w:val="111111"/>
          <w:sz w:val="20"/>
        </w:rPr>
        <w:t>The interface should expose the evidence needed for review without overwhelming the user. Layered explanations can present a concise status first, followed by source quality, component outputs, limitations, and the audit history. Accessibility, language, reading level, and device constraints are functional requirements, not decorative additions after the algorithm has been completed. For older adults, effectiveness, efficiency, and satisfaction should be evaluated in a specified context of use in accordance with ISO 9241-11, while digital content and controls should follow WCAG 2.2 accessibility principles (International Organization for Standardization [ISO], 2018; World Wide Web Consortium [W3C], 2023).</w:t>
      </w:r>
    </w:p>
    <w:p>
      <w:pPr>
        <w:spacing w:before="100" w:after="60"/>
        <w:jc w:val="center"/>
      </w:pPr>
      <w:r>
        <w:rPr>
          <w:rFonts w:ascii="Times New Roman" w:hAnsi="Times New Roman"/>
          <w:b/>
          <w:i w:val="0"/>
          <w:color w:val="111111"/>
          <w:sz w:val="18"/>
        </w:rPr>
        <w:t>Table 3. Core Architecture and Control Points</w:t>
      </w:r>
    </w:p>
    <w:tbl>
      <w:tblPr>
        <w:tblW w:type="auto" w:w="0"/>
        <w:jc w:val="center"/>
        <w:tblLayout w:type="fixed"/>
        <w:tblLook w:firstColumn="1" w:firstRow="1" w:lastColumn="0" w:lastRow="0" w:noHBand="0" w:noVBand="1" w:val="04A0"/>
        <w:tblBorders>
          <w:top w:val="single" w:sz="4" w:color="AFC3E0"/>
          <w:left w:val="single" w:sz="4" w:color="AFC3E0"/>
          <w:bottom w:val="single" w:sz="4" w:color="AFC3E0"/>
          <w:right w:val="single" w:sz="4" w:color="AFC3E0"/>
          <w:insideH w:val="single" w:sz="4" w:color="AFC3E0"/>
          <w:insideV w:val="single" w:sz="4" w:color="AFC3E0"/>
        </w:tblBorders>
      </w:tblPr>
      <w:tblGrid>
        <w:gridCol w:w="3213"/>
        <w:gridCol w:w="3213"/>
        <w:gridCol w:w="3213"/>
      </w:tblGrid>
      <w:tr>
        <w:tc>
          <w:tcPr>
            <w:tcW w:type="dxa" w:w="3213"/>
            <w:shd w:fill="2F66B3"/>
          </w:tcPr>
          <w:p>
            <w:pPr>
              <w:jc w:val="center"/>
            </w:pPr>
            <w:r>
              <w:rPr>
                <w:rFonts w:ascii="Times New Roman" w:hAnsi="Times New Roman"/>
                <w:b/>
                <w:i w:val="0"/>
                <w:color w:val="FFFFFF"/>
                <w:sz w:val="15"/>
              </w:rPr>
              <w:t>Layer</w:t>
            </w:r>
          </w:p>
        </w:tc>
        <w:tc>
          <w:tcPr>
            <w:tcW w:type="dxa" w:w="3213"/>
            <w:shd w:fill="2F66B3"/>
          </w:tcPr>
          <w:p>
            <w:pPr>
              <w:jc w:val="center"/>
            </w:pPr>
            <w:r>
              <w:rPr>
                <w:rFonts w:ascii="Times New Roman" w:hAnsi="Times New Roman"/>
                <w:b/>
                <w:i w:val="0"/>
                <w:color w:val="FFFFFF"/>
                <w:sz w:val="15"/>
              </w:rPr>
              <w:t>Principal function</w:t>
            </w:r>
          </w:p>
        </w:tc>
        <w:tc>
          <w:tcPr>
            <w:tcW w:type="dxa" w:w="3213"/>
            <w:shd w:fill="2F66B3"/>
          </w:tcPr>
          <w:p>
            <w:pPr>
              <w:jc w:val="center"/>
            </w:pPr>
            <w:r>
              <w:rPr>
                <w:rFonts w:ascii="Times New Roman" w:hAnsi="Times New Roman"/>
                <w:b/>
                <w:i w:val="0"/>
                <w:color w:val="FFFFFF"/>
                <w:sz w:val="15"/>
              </w:rPr>
              <w:t>Control point</w:t>
            </w:r>
          </w:p>
        </w:tc>
      </w:tr>
      <w:tr>
        <w:tc>
          <w:tcPr>
            <w:tcW w:type="dxa" w:w="3213"/>
            <w:vAlign w:val="center"/>
          </w:tcPr>
          <w:p>
            <w:pPr>
              <w:spacing w:after="0"/>
            </w:pPr>
            <w:r>
              <w:rPr>
                <w:rFonts w:ascii="Times New Roman" w:hAnsi="Times New Roman"/>
                <w:b w:val="0"/>
                <w:i w:val="0"/>
                <w:color w:val="111111"/>
                <w:sz w:val="15"/>
              </w:rPr>
              <w:t>Input</w:t>
            </w:r>
          </w:p>
        </w:tc>
        <w:tc>
          <w:tcPr>
            <w:tcW w:type="dxa" w:w="3213"/>
            <w:vAlign w:val="center"/>
          </w:tcPr>
          <w:p>
            <w:pPr>
              <w:spacing w:after="0"/>
            </w:pPr>
            <w:r>
              <w:rPr>
                <w:rFonts w:ascii="Times New Roman" w:hAnsi="Times New Roman"/>
                <w:b w:val="0"/>
                <w:i w:val="0"/>
                <w:color w:val="111111"/>
                <w:sz w:val="15"/>
              </w:rPr>
              <w:t>Acquire and validate source evidence</w:t>
            </w:r>
          </w:p>
        </w:tc>
        <w:tc>
          <w:tcPr>
            <w:tcW w:type="dxa" w:w="3213"/>
            <w:vAlign w:val="center"/>
          </w:tcPr>
          <w:p>
            <w:pPr>
              <w:spacing w:after="0"/>
            </w:pPr>
            <w:r>
              <w:rPr>
                <w:rFonts w:ascii="Times New Roman" w:hAnsi="Times New Roman"/>
                <w:b w:val="0"/>
                <w:i w:val="0"/>
                <w:color w:val="111111"/>
                <w:sz w:val="15"/>
              </w:rPr>
              <w:t>Provenance, consent, completeness</w:t>
            </w:r>
          </w:p>
        </w:tc>
      </w:tr>
      <w:tr>
        <w:tc>
          <w:tcPr>
            <w:tcW w:type="dxa" w:w="3213"/>
            <w:vAlign w:val="center"/>
          </w:tcPr>
          <w:p>
            <w:pPr>
              <w:spacing w:after="0"/>
            </w:pPr>
            <w:r>
              <w:rPr>
                <w:rFonts w:ascii="Times New Roman" w:hAnsi="Times New Roman"/>
                <w:b w:val="0"/>
                <w:i w:val="0"/>
                <w:color w:val="111111"/>
                <w:sz w:val="15"/>
              </w:rPr>
              <w:t>Processing</w:t>
            </w:r>
          </w:p>
        </w:tc>
        <w:tc>
          <w:tcPr>
            <w:tcW w:type="dxa" w:w="3213"/>
            <w:vAlign w:val="center"/>
          </w:tcPr>
          <w:p>
            <w:pPr>
              <w:spacing w:after="0"/>
            </w:pPr>
            <w:r>
              <w:rPr>
                <w:rFonts w:ascii="Times New Roman" w:hAnsi="Times New Roman"/>
                <w:b w:val="0"/>
                <w:i w:val="0"/>
                <w:color w:val="111111"/>
                <w:sz w:val="15"/>
              </w:rPr>
              <w:t>Transform and analyse evidence</w:t>
            </w:r>
          </w:p>
        </w:tc>
        <w:tc>
          <w:tcPr>
            <w:tcW w:type="dxa" w:w="3213"/>
            <w:vAlign w:val="center"/>
          </w:tcPr>
          <w:p>
            <w:pPr>
              <w:spacing w:after="0"/>
            </w:pPr>
            <w:r>
              <w:rPr>
                <w:rFonts w:ascii="Times New Roman" w:hAnsi="Times New Roman"/>
                <w:b w:val="0"/>
                <w:i w:val="0"/>
                <w:color w:val="111111"/>
                <w:sz w:val="15"/>
              </w:rPr>
              <w:t>Version, configuration, warnings</w:t>
            </w:r>
          </w:p>
        </w:tc>
      </w:tr>
      <w:tr>
        <w:tc>
          <w:tcPr>
            <w:tcW w:type="dxa" w:w="3213"/>
            <w:vAlign w:val="center"/>
          </w:tcPr>
          <w:p>
            <w:pPr>
              <w:spacing w:after="0"/>
            </w:pPr>
            <w:r>
              <w:rPr>
                <w:rFonts w:ascii="Times New Roman" w:hAnsi="Times New Roman"/>
                <w:b w:val="0"/>
                <w:i w:val="0"/>
                <w:color w:val="111111"/>
                <w:sz w:val="15"/>
              </w:rPr>
              <w:t>Decision</w:t>
            </w:r>
          </w:p>
        </w:tc>
        <w:tc>
          <w:tcPr>
            <w:tcW w:type="dxa" w:w="3213"/>
            <w:vAlign w:val="center"/>
          </w:tcPr>
          <w:p>
            <w:pPr>
              <w:spacing w:after="0"/>
            </w:pPr>
            <w:r>
              <w:rPr>
                <w:rFonts w:ascii="Times New Roman" w:hAnsi="Times New Roman"/>
                <w:b w:val="0"/>
                <w:i w:val="0"/>
                <w:color w:val="111111"/>
                <w:sz w:val="15"/>
              </w:rPr>
              <w:t>Combine evidence and uncertainty</w:t>
            </w:r>
          </w:p>
        </w:tc>
        <w:tc>
          <w:tcPr>
            <w:tcW w:type="dxa" w:w="3213"/>
            <w:vAlign w:val="center"/>
          </w:tcPr>
          <w:p>
            <w:pPr>
              <w:spacing w:after="0"/>
            </w:pPr>
            <w:r>
              <w:rPr>
                <w:rFonts w:ascii="Times New Roman" w:hAnsi="Times New Roman"/>
                <w:b w:val="0"/>
                <w:i w:val="0"/>
                <w:color w:val="111111"/>
                <w:sz w:val="15"/>
              </w:rPr>
              <w:t>Calibration and escalation</w:t>
            </w:r>
          </w:p>
        </w:tc>
      </w:tr>
      <w:tr>
        <w:tc>
          <w:tcPr>
            <w:tcW w:type="dxa" w:w="3213"/>
            <w:vAlign w:val="center"/>
          </w:tcPr>
          <w:p>
            <w:pPr>
              <w:spacing w:after="0"/>
            </w:pPr>
            <w:r>
              <w:rPr>
                <w:rFonts w:ascii="Times New Roman" w:hAnsi="Times New Roman"/>
                <w:b w:val="0"/>
                <w:i w:val="0"/>
                <w:color w:val="111111"/>
                <w:sz w:val="15"/>
              </w:rPr>
              <w:t>Interface</w:t>
            </w:r>
          </w:p>
        </w:tc>
        <w:tc>
          <w:tcPr>
            <w:tcW w:type="dxa" w:w="3213"/>
            <w:vAlign w:val="center"/>
          </w:tcPr>
          <w:p>
            <w:pPr>
              <w:spacing w:after="0"/>
            </w:pPr>
            <w:r>
              <w:rPr>
                <w:rFonts w:ascii="Times New Roman" w:hAnsi="Times New Roman"/>
                <w:b w:val="0"/>
                <w:i w:val="0"/>
                <w:color w:val="111111"/>
                <w:sz w:val="15"/>
              </w:rPr>
              <w:t>Communicate action and limitations</w:t>
            </w:r>
          </w:p>
        </w:tc>
        <w:tc>
          <w:tcPr>
            <w:tcW w:type="dxa" w:w="3213"/>
            <w:vAlign w:val="center"/>
          </w:tcPr>
          <w:p>
            <w:pPr>
              <w:spacing w:after="0"/>
            </w:pPr>
            <w:r>
              <w:rPr>
                <w:rFonts w:ascii="Times New Roman" w:hAnsi="Times New Roman"/>
                <w:b w:val="0"/>
                <w:i w:val="0"/>
                <w:color w:val="111111"/>
                <w:sz w:val="15"/>
              </w:rPr>
              <w:t>Accessibility and audit history</w:t>
            </w:r>
          </w:p>
        </w:tc>
      </w:tr>
    </w:tbl>
    <w:p>
      <w:pPr>
        <w:spacing w:line="259" w:lineRule="auto" w:after="80"/>
        <w:jc w:val="both"/>
      </w:pPr>
      <w:r>
        <w:rPr>
          <w:rFonts w:ascii="Times New Roman" w:hAnsi="Times New Roman"/>
          <w:b w:val="0"/>
          <w:i w:val="0"/>
          <w:color w:val="111111"/>
          <w:sz w:val="20"/>
        </w:rPr>
        <w:t>Interfaces between layers should use documented schemas and error states. A downstream component must be able to distinguish a valid low value from a missing, rejected, or technically failed input. Time synchronisation, unit definitions, identifier handling, and version compatibility require explicit tests. These controls appear mundane compared with analytical algorithms, but many operational failures arise from mismatched assumptions at component boundaries rather than from the core method itself.</w:t>
      </w:r>
    </w:p>
    <w:p>
      <w:pPr>
        <w:pStyle w:val="JASTEH1"/>
      </w:pPr>
      <w:r>
        <w:t>5. VALIDATION AND PERFORMANCE EVALUATION</w:t>
      </w:r>
    </w:p>
    <w:p>
      <w:pPr>
        <w:spacing w:line="259" w:lineRule="auto" w:after="80"/>
        <w:jc w:val="both"/>
      </w:pPr>
      <w:r>
        <w:rPr>
          <w:rFonts w:ascii="Times New Roman" w:hAnsi="Times New Roman"/>
          <w:b w:val="0"/>
          <w:i w:val="0"/>
          <w:color w:val="111111"/>
          <w:sz w:val="20"/>
        </w:rPr>
        <w:t>Evaluation must measure more than headline accuracy. The minimum set includes completion and non-wear rate, transmission success, latency, battery duration, missingness, false-alert rate, usability, adherence, and clinician review time. Completion rates in ecological assessment protocols vary widely across studies and should be reported explicitly, because low or undisclosed completion can bias derived pain indices (Ono et al., 2019). Metrics should be reported with denominators, confidence intervals where appropriate, threshold settings, and subgroup results. A system that performs well on an average score may still be unsafe if errors concentrate in a device type, language group, environmental condition, or high-risk use case.</w:t>
      </w:r>
    </w:p>
    <w:p>
      <w:pPr>
        <w:spacing w:line="259" w:lineRule="auto" w:after="80"/>
        <w:jc w:val="both"/>
      </w:pPr>
      <w:r>
        <w:rPr>
          <w:rFonts w:ascii="Times New Roman" w:hAnsi="Times New Roman"/>
          <w:b w:val="0"/>
          <w:i w:val="0"/>
          <w:color w:val="111111"/>
          <w:sz w:val="20"/>
        </w:rPr>
        <w:t>Development, tuning, and final evaluation data must be separated at the level where leakage can occur. Near duplicates, repeated users, related devices, or temporally adjacent records can inflate performance if they appear on both sides of a split. A credible protocol documents exclusions, deduplication, missingness, class distribution, and the rationale for every sampling decision.</w:t>
      </w:r>
    </w:p>
    <w:p>
      <w:pPr>
        <w:spacing w:line="259" w:lineRule="auto" w:after="80"/>
        <w:jc w:val="both"/>
      </w:pPr>
      <w:r>
        <w:rPr>
          <w:rFonts w:ascii="Times New Roman" w:hAnsi="Times New Roman"/>
          <w:b w:val="0"/>
          <w:i w:val="0"/>
          <w:color w:val="111111"/>
          <w:sz w:val="20"/>
        </w:rPr>
        <w:t>Robustness testing should vary conditions expected after deployment rather than reproducing only a clean laboratory setting. Stress tests may include reduced quality, missing fields, changed interfaces, novel attack patterns, network interruption, low-end devices, and ambiguous cases. Results should identify failure modes and recovery behaviour, including whether the system abstains safely when evidence is insufficient.</w:t>
      </w:r>
    </w:p>
    <w:p>
      <w:pPr>
        <w:spacing w:line="259" w:lineRule="auto" w:after="80"/>
        <w:jc w:val="both"/>
      </w:pPr>
      <w:r>
        <w:rPr>
          <w:rFonts w:ascii="Times New Roman" w:hAnsi="Times New Roman"/>
          <w:b w:val="0"/>
          <w:i w:val="0"/>
          <w:color w:val="111111"/>
          <w:sz w:val="20"/>
        </w:rPr>
        <w:t>Human factors require their own validation. Reviewers should complete representative tasks while researchers measure completion, interpretation errors, confidence, workload, and disagreement. Qualitative debriefing can reveal misleading explanations and workflow friction that quantitative system metrics do not capture. Human oversight is effective only when reviewers have enough time, competence, and authority to challenge the output.</w:t>
      </w:r>
    </w:p>
    <w:p>
      <w:pPr>
        <w:spacing w:before="100" w:after="60"/>
        <w:jc w:val="center"/>
      </w:pPr>
      <w:r>
        <w:rPr>
          <w:rFonts w:ascii="Times New Roman" w:hAnsi="Times New Roman"/>
          <w:b/>
          <w:i w:val="0"/>
          <w:color w:val="111111"/>
          <w:sz w:val="18"/>
        </w:rPr>
        <w:t>Table 4. Minimum Validation Matrix</w:t>
      </w:r>
    </w:p>
    <w:tbl>
      <w:tblPr>
        <w:tblW w:type="auto" w:w="0"/>
        <w:jc w:val="center"/>
        <w:tblLayout w:type="fixed"/>
        <w:tblLook w:firstColumn="1" w:firstRow="1" w:lastColumn="0" w:lastRow="0" w:noHBand="0" w:noVBand="1" w:val="04A0"/>
        <w:tblBorders>
          <w:top w:val="single" w:sz="4" w:color="AFC3E0"/>
          <w:left w:val="single" w:sz="4" w:color="AFC3E0"/>
          <w:bottom w:val="single" w:sz="4" w:color="AFC3E0"/>
          <w:right w:val="single" w:sz="4" w:color="AFC3E0"/>
          <w:insideH w:val="single" w:sz="4" w:color="AFC3E0"/>
          <w:insideV w:val="single" w:sz="4" w:color="AFC3E0"/>
        </w:tblBorders>
      </w:tblPr>
      <w:tblGrid>
        <w:gridCol w:w="3213"/>
        <w:gridCol w:w="3213"/>
        <w:gridCol w:w="3213"/>
      </w:tblGrid>
      <w:tr>
        <w:tc>
          <w:tcPr>
            <w:tcW w:type="dxa" w:w="3213"/>
            <w:shd w:fill="2F66B3"/>
          </w:tcPr>
          <w:p>
            <w:pPr>
              <w:jc w:val="center"/>
            </w:pPr>
            <w:r>
              <w:rPr>
                <w:rFonts w:ascii="Times New Roman" w:hAnsi="Times New Roman"/>
                <w:b/>
                <w:i w:val="0"/>
                <w:color w:val="FFFFFF"/>
                <w:sz w:val="15"/>
              </w:rPr>
              <w:t>Evaluation domain</w:t>
            </w:r>
          </w:p>
        </w:tc>
        <w:tc>
          <w:tcPr>
            <w:tcW w:type="dxa" w:w="3213"/>
            <w:shd w:fill="2F66B3"/>
          </w:tcPr>
          <w:p>
            <w:pPr>
              <w:jc w:val="center"/>
            </w:pPr>
            <w:r>
              <w:rPr>
                <w:rFonts w:ascii="Times New Roman" w:hAnsi="Times New Roman"/>
                <w:b/>
                <w:i w:val="0"/>
                <w:color w:val="FFFFFF"/>
                <w:sz w:val="15"/>
              </w:rPr>
              <w:t>Example measure</w:t>
            </w:r>
          </w:p>
        </w:tc>
        <w:tc>
          <w:tcPr>
            <w:tcW w:type="dxa" w:w="3213"/>
            <w:shd w:fill="2F66B3"/>
          </w:tcPr>
          <w:p>
            <w:pPr>
              <w:jc w:val="center"/>
            </w:pPr>
            <w:r>
              <w:rPr>
                <w:rFonts w:ascii="Times New Roman" w:hAnsi="Times New Roman"/>
                <w:b/>
                <w:i w:val="0"/>
                <w:color w:val="FFFFFF"/>
                <w:sz w:val="15"/>
              </w:rPr>
              <w:t>Decision use</w:t>
            </w:r>
          </w:p>
        </w:tc>
      </w:tr>
      <w:tr>
        <w:tc>
          <w:tcPr>
            <w:tcW w:type="dxa" w:w="3213"/>
            <w:vAlign w:val="center"/>
          </w:tcPr>
          <w:p>
            <w:pPr>
              <w:spacing w:after="0"/>
            </w:pPr>
            <w:r>
              <w:rPr>
                <w:rFonts w:ascii="Times New Roman" w:hAnsi="Times New Roman"/>
                <w:b w:val="0"/>
                <w:i w:val="0"/>
                <w:color w:val="111111"/>
                <w:sz w:val="15"/>
              </w:rPr>
              <w:t>Technical validity</w:t>
            </w:r>
          </w:p>
        </w:tc>
        <w:tc>
          <w:tcPr>
            <w:tcW w:type="dxa" w:w="3213"/>
            <w:vAlign w:val="center"/>
          </w:tcPr>
          <w:p>
            <w:pPr>
              <w:spacing w:after="0"/>
            </w:pPr>
            <w:r>
              <w:rPr>
                <w:rFonts w:ascii="Times New Roman" w:hAnsi="Times New Roman"/>
                <w:b w:val="0"/>
                <w:i w:val="0"/>
                <w:color w:val="111111"/>
                <w:sz w:val="15"/>
              </w:rPr>
              <w:t>completion and non-wear rate, transmission success, latency, battery duration, missingness, false-alert rate, usability, adherence</w:t>
            </w:r>
          </w:p>
        </w:tc>
        <w:tc>
          <w:tcPr>
            <w:tcW w:type="dxa" w:w="3213"/>
            <w:vAlign w:val="center"/>
          </w:tcPr>
          <w:p>
            <w:pPr>
              <w:spacing w:after="0"/>
            </w:pPr>
            <w:r>
              <w:rPr>
                <w:rFonts w:ascii="Times New Roman" w:hAnsi="Times New Roman"/>
                <w:b w:val="0"/>
                <w:i w:val="0"/>
                <w:color w:val="111111"/>
                <w:sz w:val="15"/>
              </w:rPr>
              <w:t>Compare configurations</w:t>
            </w:r>
          </w:p>
        </w:tc>
      </w:tr>
      <w:tr>
        <w:tc>
          <w:tcPr>
            <w:tcW w:type="dxa" w:w="3213"/>
            <w:vAlign w:val="center"/>
          </w:tcPr>
          <w:p>
            <w:pPr>
              <w:spacing w:after="0"/>
            </w:pPr>
            <w:r>
              <w:rPr>
                <w:rFonts w:ascii="Times New Roman" w:hAnsi="Times New Roman"/>
                <w:b w:val="0"/>
                <w:i w:val="0"/>
                <w:color w:val="111111"/>
                <w:sz w:val="15"/>
              </w:rPr>
              <w:t>Robustness</w:t>
            </w:r>
          </w:p>
        </w:tc>
        <w:tc>
          <w:tcPr>
            <w:tcW w:type="dxa" w:w="3213"/>
            <w:vAlign w:val="center"/>
          </w:tcPr>
          <w:p>
            <w:pPr>
              <w:spacing w:after="0"/>
            </w:pPr>
            <w:r>
              <w:rPr>
                <w:rFonts w:ascii="Times New Roman" w:hAnsi="Times New Roman"/>
                <w:b w:val="0"/>
                <w:i w:val="0"/>
                <w:color w:val="111111"/>
                <w:sz w:val="15"/>
              </w:rPr>
              <w:t>Performance under degraded or novel conditions</w:t>
            </w:r>
          </w:p>
        </w:tc>
        <w:tc>
          <w:tcPr>
            <w:tcW w:type="dxa" w:w="3213"/>
            <w:vAlign w:val="center"/>
          </w:tcPr>
          <w:p>
            <w:pPr>
              <w:spacing w:after="0"/>
            </w:pPr>
            <w:r>
              <w:rPr>
                <w:rFonts w:ascii="Times New Roman" w:hAnsi="Times New Roman"/>
                <w:b w:val="0"/>
                <w:i w:val="0"/>
                <w:color w:val="111111"/>
                <w:sz w:val="15"/>
              </w:rPr>
              <w:t>Define safe operating boundary</w:t>
            </w:r>
          </w:p>
        </w:tc>
      </w:tr>
      <w:tr>
        <w:tc>
          <w:tcPr>
            <w:tcW w:type="dxa" w:w="3213"/>
            <w:vAlign w:val="center"/>
          </w:tcPr>
          <w:p>
            <w:pPr>
              <w:spacing w:after="0"/>
            </w:pPr>
            <w:r>
              <w:rPr>
                <w:rFonts w:ascii="Times New Roman" w:hAnsi="Times New Roman"/>
                <w:b w:val="0"/>
                <w:i w:val="0"/>
                <w:color w:val="111111"/>
                <w:sz w:val="15"/>
              </w:rPr>
              <w:t>Human factors</w:t>
            </w:r>
          </w:p>
        </w:tc>
        <w:tc>
          <w:tcPr>
            <w:tcW w:type="dxa" w:w="3213"/>
            <w:vAlign w:val="center"/>
          </w:tcPr>
          <w:p>
            <w:pPr>
              <w:spacing w:after="0"/>
            </w:pPr>
            <w:r>
              <w:rPr>
                <w:rFonts w:ascii="Times New Roman" w:hAnsi="Times New Roman"/>
                <w:b w:val="0"/>
                <w:i w:val="0"/>
                <w:color w:val="111111"/>
                <w:sz w:val="15"/>
              </w:rPr>
              <w:t>Task success, interpretation error, workload</w:t>
            </w:r>
          </w:p>
        </w:tc>
        <w:tc>
          <w:tcPr>
            <w:tcW w:type="dxa" w:w="3213"/>
            <w:vAlign w:val="center"/>
          </w:tcPr>
          <w:p>
            <w:pPr>
              <w:spacing w:after="0"/>
            </w:pPr>
            <w:r>
              <w:rPr>
                <w:rFonts w:ascii="Times New Roman" w:hAnsi="Times New Roman"/>
                <w:b w:val="0"/>
                <w:i w:val="0"/>
                <w:color w:val="111111"/>
                <w:sz w:val="15"/>
              </w:rPr>
              <w:t>Improve interface and training</w:t>
            </w:r>
          </w:p>
        </w:tc>
      </w:tr>
      <w:tr>
        <w:tc>
          <w:tcPr>
            <w:tcW w:type="dxa" w:w="3213"/>
            <w:vAlign w:val="center"/>
          </w:tcPr>
          <w:p>
            <w:pPr>
              <w:spacing w:after="0"/>
            </w:pPr>
            <w:r>
              <w:rPr>
                <w:rFonts w:ascii="Times New Roman" w:hAnsi="Times New Roman"/>
                <w:b w:val="0"/>
                <w:i w:val="0"/>
                <w:color w:val="111111"/>
                <w:sz w:val="15"/>
              </w:rPr>
              <w:t>Operations</w:t>
            </w:r>
          </w:p>
        </w:tc>
        <w:tc>
          <w:tcPr>
            <w:tcW w:type="dxa" w:w="3213"/>
            <w:vAlign w:val="center"/>
          </w:tcPr>
          <w:p>
            <w:pPr>
              <w:spacing w:after="0"/>
            </w:pPr>
            <w:r>
              <w:rPr>
                <w:rFonts w:ascii="Times New Roman" w:hAnsi="Times New Roman"/>
                <w:b w:val="0"/>
                <w:i w:val="0"/>
                <w:color w:val="111111"/>
                <w:sz w:val="15"/>
              </w:rPr>
              <w:t>Latency, availability, incidents, overrides</w:t>
            </w:r>
          </w:p>
        </w:tc>
        <w:tc>
          <w:tcPr>
            <w:tcW w:type="dxa" w:w="3213"/>
            <w:vAlign w:val="center"/>
          </w:tcPr>
          <w:p>
            <w:pPr>
              <w:spacing w:after="0"/>
            </w:pPr>
            <w:r>
              <w:rPr>
                <w:rFonts w:ascii="Times New Roman" w:hAnsi="Times New Roman"/>
                <w:b w:val="0"/>
                <w:i w:val="0"/>
                <w:color w:val="111111"/>
                <w:sz w:val="15"/>
              </w:rPr>
              <w:t>Monitor deployment health</w:t>
            </w:r>
          </w:p>
        </w:tc>
      </w:tr>
    </w:tbl>
    <w:p>
      <w:pPr>
        <w:spacing w:line="259" w:lineRule="auto" w:after="80"/>
        <w:jc w:val="both"/>
      </w:pPr>
      <w:r>
        <w:rPr>
          <w:rFonts w:ascii="Times New Roman" w:hAnsi="Times New Roman"/>
          <w:b w:val="0"/>
          <w:i w:val="0"/>
          <w:color w:val="111111"/>
          <w:sz w:val="20"/>
        </w:rPr>
        <w:t>A validation report should publish the complete test configuration, including hardware, software, model or rule versions, threshold values, sample exclusions, and unsuccessful trials. Aggregate metrics should be accompanied by confusion patterns or error categories that show what the system gets wrong. Acceptance criteria must be set before examining final test results wherever feasible, thereby reducing the temptation to redefine success around the observed output.</w:t>
      </w:r>
    </w:p>
    <w:p>
      <w:pPr>
        <w:pStyle w:val="JASTEH1"/>
      </w:pPr>
      <w:r>
        <w:t>6. RISK, ETHICS, PRIVACY, AND GOVERNANCE</w:t>
      </w:r>
    </w:p>
    <w:p>
      <w:pPr>
        <w:spacing w:line="259" w:lineRule="auto" w:after="80"/>
        <w:jc w:val="both"/>
      </w:pPr>
      <w:r>
        <w:rPr>
          <w:rFonts w:ascii="Times New Roman" w:hAnsi="Times New Roman"/>
          <w:b w:val="0"/>
          <w:i w:val="0"/>
          <w:color w:val="111111"/>
          <w:sz w:val="20"/>
        </w:rPr>
        <w:t>The principal risks include sensor-derived activity being mistaken for pain, digital exclusion, alert fatigue, missing data, privacy loss, poor interoperability, and unsafe automated interpretation. Excessive or poorly targeted alerts can produce alert fatigue that reduces clinician responsiveness to genuinely important warnings, so alert volume and specificity should be actively monitored rather than assumed acceptable (Ray et al., 2026). These risks should be entered in a living register with a cause, affected component, likely consequence, existing control, residual severity, monitoring signal, and accountable owner. Risk review should occur before each major release and whenever evidence shows a new failure pattern.</w:t>
      </w:r>
    </w:p>
    <w:p>
      <w:pPr>
        <w:spacing w:line="259" w:lineRule="auto" w:after="80"/>
        <w:jc w:val="both"/>
      </w:pPr>
      <w:r>
        <w:rPr>
          <w:rFonts w:ascii="Times New Roman" w:hAnsi="Times New Roman"/>
          <w:b w:val="0"/>
          <w:i w:val="0"/>
          <w:color w:val="111111"/>
          <w:sz w:val="20"/>
        </w:rPr>
        <w:t>Privacy protection starts with data minimisation and purpose limitation. Collection should be restricted to information required for the declared function, retention periods should be explicit, and access should follow least-privilege principles. Identifiers should be separated from analytical data where feasible, transfers should be encrypted, and deletion or withdrawal procedures should be testable rather than merely described in policy text. These controls are consistent with the NIST Privacy Framework's principles for identifying and managing privacy risk across the data lifecycle (National Institute of Standards and Technology [NIST], 2020).</w:t>
      </w:r>
    </w:p>
    <w:p>
      <w:pPr>
        <w:spacing w:line="259" w:lineRule="auto" w:after="80"/>
        <w:jc w:val="both"/>
      </w:pPr>
      <w:r>
        <w:rPr>
          <w:rFonts w:ascii="Times New Roman" w:hAnsi="Times New Roman"/>
          <w:b w:val="0"/>
          <w:i w:val="0"/>
          <w:color w:val="111111"/>
          <w:sz w:val="20"/>
        </w:rPr>
        <w:t>Governance must define who can change thresholds, models, feature sets, interface wording, and escalation rules. Material changes require documented testing and approval. Audit logs should be protected from routine editing and should support reconstruction of the evidence available at the time of a decision. Incidents need an investigation route, user notification criteria, and corrective-action tracking.</w:t>
      </w:r>
    </w:p>
    <w:p>
      <w:pPr>
        <w:spacing w:line="259" w:lineRule="auto" w:after="80"/>
        <w:jc w:val="both"/>
      </w:pPr>
      <w:r>
        <w:rPr>
          <w:rFonts w:ascii="Times New Roman" w:hAnsi="Times New Roman"/>
          <w:b w:val="0"/>
          <w:i w:val="0"/>
          <w:color w:val="111111"/>
          <w:sz w:val="20"/>
        </w:rPr>
        <w:t>Ethical review should focus on foreseeable effects rather than only on formal consent. Exclusion, stigma, surveillance, automation bias, and unequal error rates may arise even when data collection is technically lawful. Stakeholder participation and accessible complaint mechanisms help identify harms that are not visible in benchmark results.</w:t>
      </w:r>
    </w:p>
    <w:p>
      <w:pPr>
        <w:spacing w:before="100" w:after="60"/>
        <w:jc w:val="center"/>
      </w:pPr>
      <w:r>
        <w:rPr>
          <w:rFonts w:ascii="Times New Roman" w:hAnsi="Times New Roman"/>
          <w:b/>
          <w:i w:val="0"/>
          <w:color w:val="111111"/>
          <w:sz w:val="18"/>
        </w:rPr>
        <w:t>Table 5. Risk-Control Register</w:t>
      </w:r>
    </w:p>
    <w:tbl>
      <w:tblPr>
        <w:tblW w:type="auto" w:w="0"/>
        <w:jc w:val="center"/>
        <w:tblLayout w:type="fixed"/>
        <w:tblLook w:firstColumn="1" w:firstRow="1" w:lastColumn="0" w:lastRow="0" w:noHBand="0" w:noVBand="1" w:val="04A0"/>
        <w:tblBorders>
          <w:top w:val="single" w:sz="4" w:color="AFC3E0"/>
          <w:left w:val="single" w:sz="4" w:color="AFC3E0"/>
          <w:bottom w:val="single" w:sz="4" w:color="AFC3E0"/>
          <w:right w:val="single" w:sz="4" w:color="AFC3E0"/>
          <w:insideH w:val="single" w:sz="4" w:color="AFC3E0"/>
          <w:insideV w:val="single" w:sz="4" w:color="AFC3E0"/>
        </w:tblBorders>
      </w:tblPr>
      <w:tblGrid>
        <w:gridCol w:w="3213"/>
        <w:gridCol w:w="3213"/>
        <w:gridCol w:w="3213"/>
      </w:tblGrid>
      <w:tr>
        <w:tc>
          <w:tcPr>
            <w:tcW w:type="dxa" w:w="3213"/>
            <w:shd w:fill="2F66B3"/>
          </w:tcPr>
          <w:p>
            <w:pPr>
              <w:jc w:val="center"/>
            </w:pPr>
            <w:r>
              <w:rPr>
                <w:rFonts w:ascii="Times New Roman" w:hAnsi="Times New Roman"/>
                <w:b/>
                <w:i w:val="0"/>
                <w:color w:val="FFFFFF"/>
                <w:sz w:val="15"/>
              </w:rPr>
              <w:t>Risk category</w:t>
            </w:r>
          </w:p>
        </w:tc>
        <w:tc>
          <w:tcPr>
            <w:tcW w:type="dxa" w:w="3213"/>
            <w:shd w:fill="2F66B3"/>
          </w:tcPr>
          <w:p>
            <w:pPr>
              <w:jc w:val="center"/>
            </w:pPr>
            <w:r>
              <w:rPr>
                <w:rFonts w:ascii="Times New Roman" w:hAnsi="Times New Roman"/>
                <w:b/>
                <w:i w:val="0"/>
                <w:color w:val="FFFFFF"/>
                <w:sz w:val="15"/>
              </w:rPr>
              <w:t>Preventive control</w:t>
            </w:r>
          </w:p>
        </w:tc>
        <w:tc>
          <w:tcPr>
            <w:tcW w:type="dxa" w:w="3213"/>
            <w:shd w:fill="2F66B3"/>
          </w:tcPr>
          <w:p>
            <w:pPr>
              <w:jc w:val="center"/>
            </w:pPr>
            <w:r>
              <w:rPr>
                <w:rFonts w:ascii="Times New Roman" w:hAnsi="Times New Roman"/>
                <w:b/>
                <w:i w:val="0"/>
                <w:color w:val="FFFFFF"/>
                <w:sz w:val="15"/>
              </w:rPr>
              <w:t>Monitoring evidence</w:t>
            </w:r>
          </w:p>
        </w:tc>
      </w:tr>
      <w:tr>
        <w:tc>
          <w:tcPr>
            <w:tcW w:type="dxa" w:w="3213"/>
            <w:vAlign w:val="center"/>
          </w:tcPr>
          <w:p>
            <w:pPr>
              <w:spacing w:after="0"/>
            </w:pPr>
            <w:r>
              <w:rPr>
                <w:rFonts w:ascii="Times New Roman" w:hAnsi="Times New Roman"/>
                <w:b w:val="0"/>
                <w:i w:val="0"/>
                <w:color w:val="111111"/>
                <w:sz w:val="15"/>
              </w:rPr>
              <w:t>Data quality</w:t>
            </w:r>
          </w:p>
        </w:tc>
        <w:tc>
          <w:tcPr>
            <w:tcW w:type="dxa" w:w="3213"/>
            <w:vAlign w:val="center"/>
          </w:tcPr>
          <w:p>
            <w:pPr>
              <w:spacing w:after="0"/>
            </w:pPr>
            <w:r>
              <w:rPr>
                <w:rFonts w:ascii="Times New Roman" w:hAnsi="Times New Roman"/>
                <w:b w:val="0"/>
                <w:i w:val="0"/>
                <w:color w:val="111111"/>
                <w:sz w:val="15"/>
              </w:rPr>
              <w:t>Validation, provenance, quarantine</w:t>
            </w:r>
          </w:p>
        </w:tc>
        <w:tc>
          <w:tcPr>
            <w:tcW w:type="dxa" w:w="3213"/>
            <w:vAlign w:val="center"/>
          </w:tcPr>
          <w:p>
            <w:pPr>
              <w:spacing w:after="0"/>
            </w:pPr>
            <w:r>
              <w:rPr>
                <w:rFonts w:ascii="Times New Roman" w:hAnsi="Times New Roman"/>
                <w:b w:val="0"/>
                <w:i w:val="0"/>
                <w:color w:val="111111"/>
                <w:sz w:val="15"/>
              </w:rPr>
              <w:t>Missingness and rejection logs</w:t>
            </w:r>
          </w:p>
        </w:tc>
      </w:tr>
      <w:tr>
        <w:tc>
          <w:tcPr>
            <w:tcW w:type="dxa" w:w="3213"/>
            <w:vAlign w:val="center"/>
          </w:tcPr>
          <w:p>
            <w:pPr>
              <w:spacing w:after="0"/>
            </w:pPr>
            <w:r>
              <w:rPr>
                <w:rFonts w:ascii="Times New Roman" w:hAnsi="Times New Roman"/>
                <w:b w:val="0"/>
                <w:i w:val="0"/>
                <w:color w:val="111111"/>
                <w:sz w:val="15"/>
              </w:rPr>
              <w:t>Model or rule failure</w:t>
            </w:r>
          </w:p>
        </w:tc>
        <w:tc>
          <w:tcPr>
            <w:tcW w:type="dxa" w:w="3213"/>
            <w:vAlign w:val="center"/>
          </w:tcPr>
          <w:p>
            <w:pPr>
              <w:spacing w:after="0"/>
            </w:pPr>
            <w:r>
              <w:rPr>
                <w:rFonts w:ascii="Times New Roman" w:hAnsi="Times New Roman"/>
                <w:b w:val="0"/>
                <w:i w:val="0"/>
                <w:color w:val="111111"/>
                <w:sz w:val="15"/>
              </w:rPr>
              <w:t>Calibration and bounded use</w:t>
            </w:r>
          </w:p>
        </w:tc>
        <w:tc>
          <w:tcPr>
            <w:tcW w:type="dxa" w:w="3213"/>
            <w:vAlign w:val="center"/>
          </w:tcPr>
          <w:p>
            <w:pPr>
              <w:spacing w:after="0"/>
            </w:pPr>
            <w:r>
              <w:rPr>
                <w:rFonts w:ascii="Times New Roman" w:hAnsi="Times New Roman"/>
                <w:b w:val="0"/>
                <w:i w:val="0"/>
                <w:color w:val="111111"/>
                <w:sz w:val="15"/>
              </w:rPr>
              <w:t>Error and override patterns</w:t>
            </w:r>
          </w:p>
        </w:tc>
      </w:tr>
      <w:tr>
        <w:tc>
          <w:tcPr>
            <w:tcW w:type="dxa" w:w="3213"/>
            <w:vAlign w:val="center"/>
          </w:tcPr>
          <w:p>
            <w:pPr>
              <w:spacing w:after="0"/>
            </w:pPr>
            <w:r>
              <w:rPr>
                <w:rFonts w:ascii="Times New Roman" w:hAnsi="Times New Roman"/>
                <w:b w:val="0"/>
                <w:i w:val="0"/>
                <w:color w:val="111111"/>
                <w:sz w:val="15"/>
              </w:rPr>
              <w:t>Privacy and security</w:t>
            </w:r>
          </w:p>
        </w:tc>
        <w:tc>
          <w:tcPr>
            <w:tcW w:type="dxa" w:w="3213"/>
            <w:vAlign w:val="center"/>
          </w:tcPr>
          <w:p>
            <w:pPr>
              <w:spacing w:after="0"/>
            </w:pPr>
            <w:r>
              <w:rPr>
                <w:rFonts w:ascii="Times New Roman" w:hAnsi="Times New Roman"/>
                <w:b w:val="0"/>
                <w:i w:val="0"/>
                <w:color w:val="111111"/>
                <w:sz w:val="15"/>
              </w:rPr>
              <w:t>Minimisation, encryption, access control</w:t>
            </w:r>
          </w:p>
        </w:tc>
        <w:tc>
          <w:tcPr>
            <w:tcW w:type="dxa" w:w="3213"/>
            <w:vAlign w:val="center"/>
          </w:tcPr>
          <w:p>
            <w:pPr>
              <w:spacing w:after="0"/>
            </w:pPr>
            <w:r>
              <w:rPr>
                <w:rFonts w:ascii="Times New Roman" w:hAnsi="Times New Roman"/>
                <w:b w:val="0"/>
                <w:i w:val="0"/>
                <w:color w:val="111111"/>
                <w:sz w:val="15"/>
              </w:rPr>
              <w:t>Audit and incident records</w:t>
            </w:r>
          </w:p>
        </w:tc>
      </w:tr>
      <w:tr>
        <w:tc>
          <w:tcPr>
            <w:tcW w:type="dxa" w:w="3213"/>
            <w:vAlign w:val="center"/>
          </w:tcPr>
          <w:p>
            <w:pPr>
              <w:spacing w:after="0"/>
            </w:pPr>
            <w:r>
              <w:rPr>
                <w:rFonts w:ascii="Times New Roman" w:hAnsi="Times New Roman"/>
                <w:b w:val="0"/>
                <w:i w:val="0"/>
                <w:color w:val="111111"/>
                <w:sz w:val="15"/>
              </w:rPr>
              <w:t>Human factors</w:t>
            </w:r>
          </w:p>
        </w:tc>
        <w:tc>
          <w:tcPr>
            <w:tcW w:type="dxa" w:w="3213"/>
            <w:vAlign w:val="center"/>
          </w:tcPr>
          <w:p>
            <w:pPr>
              <w:spacing w:after="0"/>
            </w:pPr>
            <w:r>
              <w:rPr>
                <w:rFonts w:ascii="Times New Roman" w:hAnsi="Times New Roman"/>
                <w:b w:val="0"/>
                <w:i w:val="0"/>
                <w:color w:val="111111"/>
                <w:sz w:val="15"/>
              </w:rPr>
              <w:t>Training, explanation, escalation</w:t>
            </w:r>
          </w:p>
        </w:tc>
        <w:tc>
          <w:tcPr>
            <w:tcW w:type="dxa" w:w="3213"/>
            <w:vAlign w:val="center"/>
          </w:tcPr>
          <w:p>
            <w:pPr>
              <w:spacing w:after="0"/>
            </w:pPr>
            <w:r>
              <w:rPr>
                <w:rFonts w:ascii="Times New Roman" w:hAnsi="Times New Roman"/>
                <w:b w:val="0"/>
                <w:i w:val="0"/>
                <w:color w:val="111111"/>
                <w:sz w:val="15"/>
              </w:rPr>
              <w:t>Task error and complaint trends</w:t>
            </w:r>
          </w:p>
        </w:tc>
      </w:tr>
    </w:tbl>
    <w:p>
      <w:pPr>
        <w:spacing w:line="259" w:lineRule="auto" w:after="80"/>
        <w:jc w:val="both"/>
      </w:pPr>
      <w:r>
        <w:rPr>
          <w:rFonts w:ascii="Times New Roman" w:hAnsi="Times New Roman"/>
          <w:b w:val="0"/>
          <w:i w:val="0"/>
          <w:color w:val="111111"/>
          <w:sz w:val="20"/>
        </w:rPr>
        <w:t>Residual risk should be accepted only by a named authority with access to the supporting evidence. Controls that depend on people, such as manual review or training, need capacity estimates and periodic competency checks. Controls that depend on technology need health monitoring and fallback behaviour. This distinction matters because a policy can appear comprehensive while failing operationally when reviewers are unavailable, logs are not examined, or alerts are routinely ignored.</w:t>
      </w:r>
    </w:p>
    <w:p>
      <w:pPr>
        <w:pStyle w:val="JASTEH2"/>
      </w:pPr>
      <w:r>
        <w:t>6.1 DETAILED ENGINEERING CONSIDERATIONS</w:t>
      </w:r>
    </w:p>
    <w:p>
      <w:pPr>
        <w:spacing w:line="259" w:lineRule="auto" w:after="80"/>
        <w:jc w:val="both"/>
      </w:pPr>
      <w:r>
        <w:rPr>
          <w:rFonts w:ascii="Times New Roman" w:hAnsi="Times New Roman"/>
          <w:b w:val="0"/>
          <w:i w:val="0"/>
          <w:color w:val="111111"/>
          <w:sz w:val="20"/>
        </w:rPr>
        <w:t>Requirements traceability should begin with a matrix that links the stated purpose of a person-centred IoT monitoring architecture that supports rather than replaces clinical judgement to data elements, processing functions, interface behaviour, validation measures, and responsible roles. A requirement is incomplete when it names a feature but not the condition under which the feature must operate. Traceability also allows an auditor to determine whether a later software update changes a safety-relevant assumption or introduces a function that was never evaluated in the original protocol.</w:t>
      </w:r>
    </w:p>
    <w:p>
      <w:pPr>
        <w:spacing w:line="259" w:lineRule="auto" w:after="80"/>
        <w:jc w:val="both"/>
      </w:pPr>
      <w:r>
        <w:rPr>
          <w:rFonts w:ascii="Times New Roman" w:hAnsi="Times New Roman"/>
          <w:b w:val="0"/>
          <w:i w:val="0"/>
          <w:color w:val="111111"/>
          <w:sz w:val="20"/>
        </w:rPr>
        <w:t>The input specification must distinguish raw observations, derived variables, contextual metadata, and reviewer annotations. For this application, relevant inputs include self-reported pain, wearable activity and sleep indicators, mobility context, device status, timestamps, adherence information, and optional caregiver observations. Each field requires a definition, allowable range, unit, timestamp convention, source identifier, missing-value code, and quality flag. Treating metadata as optional documentation rather than as part of the analytical record would make it difficult to reproduce processing or explain why two apparently similar cases received different outputs.</w:t>
      </w:r>
    </w:p>
    <w:p>
      <w:pPr>
        <w:spacing w:line="259" w:lineRule="auto" w:after="80"/>
        <w:jc w:val="both"/>
      </w:pPr>
      <w:r>
        <w:rPr>
          <w:rFonts w:ascii="Times New Roman" w:hAnsi="Times New Roman"/>
          <w:b w:val="0"/>
          <w:i w:val="0"/>
          <w:color w:val="111111"/>
          <w:sz w:val="20"/>
        </w:rPr>
        <w:t>Data-quality control should operate before, during, and after analysis. Pre-processing checks identify incomplete, corrupted, duplicated, or implausible records. In-process checks detect numerical instability, unsupported formats, and component failures. Post-process checks determine whether outputs are internally consistent and accompanied by the evidence needed for interpretation. The system should preserve rejected records and rejection reasons for quality monitoring, while ensuring they do not silently enter a decision as valid low values.</w:t>
      </w:r>
    </w:p>
    <w:p>
      <w:pPr>
        <w:spacing w:line="259" w:lineRule="auto" w:after="80"/>
        <w:jc w:val="both"/>
      </w:pPr>
      <w:r>
        <w:rPr>
          <w:rFonts w:ascii="Times New Roman" w:hAnsi="Times New Roman"/>
          <w:b w:val="0"/>
          <w:i w:val="0"/>
          <w:color w:val="111111"/>
          <w:sz w:val="20"/>
        </w:rPr>
        <w:t>A modular architecture is preferable because analytical techniques, devices, platforms, and standards evolve at different rates. Modules should exchange data through documented interfaces and should expose status codes rather than hiding failures behind default values. Containerisation or equivalent environment control can improve reproducibility, but it does not replace documentation of dependencies, random seeds, configuration files, and model artefacts. Reproducibility requires both executable software and a comprehensible record of how it was used.</w:t>
      </w:r>
    </w:p>
    <w:p>
      <w:pPr>
        <w:spacing w:line="259" w:lineRule="auto" w:after="80"/>
        <w:jc w:val="both"/>
      </w:pPr>
      <w:r>
        <w:rPr>
          <w:rFonts w:ascii="Times New Roman" w:hAnsi="Times New Roman"/>
          <w:b w:val="0"/>
          <w:i w:val="0"/>
          <w:color w:val="111111"/>
          <w:sz w:val="20"/>
        </w:rPr>
        <w:t>Feature engineering should be justified by the domain problem rather than by convenience alone. Candidate features may reflect patterns in IoT-enabled remote pain monitoring for older adults with osteoarthritis, but their meaning can change across populations, devices, languages, or operating conditions. Exploratory associations therefore should not automatically become decision rules. Stability analysis, ablation testing, and expert review can determine whether a feature contributes useful information, acts as a proxy for an irrelevant characteristic, or increases complexity without improving decisions.</w:t>
      </w:r>
    </w:p>
    <w:p>
      <w:pPr>
        <w:spacing w:line="259" w:lineRule="auto" w:after="80"/>
        <w:jc w:val="both"/>
      </w:pPr>
      <w:r>
        <w:rPr>
          <w:rFonts w:ascii="Times New Roman" w:hAnsi="Times New Roman"/>
          <w:b w:val="0"/>
          <w:i w:val="0"/>
          <w:color w:val="111111"/>
          <w:sz w:val="20"/>
        </w:rPr>
        <w:t>When machine-learning or rule-based components are compared, the baseline must represent a credible alternative rather than an intentionally weak comparator. A simple and transparent baseline is valuable because it shows whether additional complexity produces a meaningful improvement. Comparisons should hold data partitions, evaluation conditions, and decision thresholds constant. If a more complex model offers only a small average gain while increasing latency, maintenance burden, or subgroup disparity, the simpler option may be preferable.</w:t>
      </w:r>
    </w:p>
    <w:p>
      <w:pPr>
        <w:spacing w:line="259" w:lineRule="auto" w:after="80"/>
        <w:jc w:val="both"/>
      </w:pPr>
      <w:r>
        <w:rPr>
          <w:rFonts w:ascii="Times New Roman" w:hAnsi="Times New Roman"/>
          <w:b w:val="0"/>
          <w:i w:val="0"/>
          <w:color w:val="111111"/>
          <w:sz w:val="20"/>
        </w:rPr>
        <w:t>Uncertainty should be represented explicitly at component and system levels. Component uncertainty can arise from poor input quality, ambiguous patterns, missing context, or an observation outside the development distribution. System-level uncertainty also reflects disagreement among components. The architecture should define when uncertainty produces an informational warning, requests additional evidence, routes the case to a reviewer, or causes the system to abstain. Abstention is a designed safety response, not an analytical failure.</w:t>
      </w:r>
    </w:p>
    <w:p>
      <w:pPr>
        <w:spacing w:line="259" w:lineRule="auto" w:after="80"/>
        <w:jc w:val="both"/>
      </w:pPr>
      <w:r>
        <w:rPr>
          <w:rFonts w:ascii="Times New Roman" w:hAnsi="Times New Roman"/>
          <w:b w:val="0"/>
          <w:i w:val="0"/>
          <w:color w:val="111111"/>
          <w:sz w:val="20"/>
        </w:rPr>
        <w:t>Threshold selection should follow the consequences of error. False acceptance and false rejection rarely have equal operational costs, and those costs may vary by case. Decision-curve analysis, cost-sensitive evaluation, or scenario-based stakeholder review can help identify defensible thresholds. Thresholds should not be selected solely to maximise one summary statistic. The final report must state the selected threshold, the resulting error trade-off, and the conditions under which a different threshold would be required.</w:t>
      </w:r>
    </w:p>
    <w:p>
      <w:pPr>
        <w:spacing w:line="259" w:lineRule="auto" w:after="80"/>
        <w:jc w:val="both"/>
      </w:pPr>
      <w:r>
        <w:rPr>
          <w:rFonts w:ascii="Times New Roman" w:hAnsi="Times New Roman"/>
          <w:b w:val="0"/>
          <w:i w:val="0"/>
          <w:color w:val="111111"/>
          <w:sz w:val="20"/>
        </w:rPr>
        <w:t>Human review remains central because the intended users include older adults, caregivers, nurses, physicians, rehabilitation professionals, biomedical engineers, and service administrators. Reviewers need a defined task, access to relevant evidence, competence requirements, and authority to override the system. The interface should record the reviewer’s decision and rationale without pressuring agreement with the automated suggestion. Override rates are useful monitoring signals, but a high or low rate is not automatically good; the pattern must be interpreted alongside case difficulty, calibration, and reviewer consistency.</w:t>
      </w:r>
    </w:p>
    <w:p>
      <w:pPr>
        <w:spacing w:line="259" w:lineRule="auto" w:after="80"/>
        <w:jc w:val="both"/>
      </w:pPr>
      <w:r>
        <w:rPr>
          <w:rFonts w:ascii="Times New Roman" w:hAnsi="Times New Roman"/>
          <w:b w:val="0"/>
          <w:i w:val="0"/>
          <w:color w:val="111111"/>
          <w:sz w:val="20"/>
        </w:rPr>
        <w:t>Explanation design should answer practical questions: what evidence influenced the output, which evidence was missing, how reliable were the components, what limitations apply, and what action is recommended next. Technical feature rankings may be useful to developers but insufficient for domain users. Explanations should be evaluated for correct interpretation, not merely for user preference. A visually attractive explanation can be harmful if it creates unwarranted confidence or conceals uncertainty.</w:t>
      </w:r>
    </w:p>
    <w:p>
      <w:pPr>
        <w:spacing w:line="259" w:lineRule="auto" w:after="80"/>
        <w:jc w:val="both"/>
      </w:pPr>
      <w:r>
        <w:rPr>
          <w:rFonts w:ascii="Times New Roman" w:hAnsi="Times New Roman"/>
          <w:b w:val="0"/>
          <w:i w:val="0"/>
          <w:color w:val="111111"/>
          <w:sz w:val="20"/>
        </w:rPr>
        <w:t>The audit trail should support reconstruction of a decision at the time it was made. Required elements include input identifiers and hashes where appropriate, consent or authority status, software and model versions, configuration values, component warnings, timestamps, reviewer actions, and final disposition. Audit records need access controls and retention rules. They should be searchable for incident analysis while avoiding unnecessary replication of sensitive source information.</w:t>
      </w:r>
    </w:p>
    <w:p>
      <w:pPr>
        <w:spacing w:line="259" w:lineRule="auto" w:after="80"/>
        <w:jc w:val="both"/>
      </w:pPr>
      <w:r>
        <w:rPr>
          <w:rFonts w:ascii="Times New Roman" w:hAnsi="Times New Roman"/>
          <w:b w:val="0"/>
          <w:i w:val="0"/>
          <w:color w:val="111111"/>
          <w:sz w:val="20"/>
        </w:rPr>
        <w:t>Security analysis should adopt a threat model that identifies assets, actors, attack surfaces, and plausible consequences. Threats may include unauthorised access, manipulation of inputs, replay or duplication, model extraction, malicious files, compromised dependencies, or alteration of logs. Controls should be tested through code review, dependency scanning, authentication checks, adversarial scenarios, and recovery exercises. A system cannot be considered reliable if an attacker can bypass the analytical safeguards through a weaker operational interface. Systematic reviews of the Internet of Medical Things describe device, network, and cloud-layer vulnerabilities across comparable remote-monitoring architectures and catalogue cryptographic and non-cryptographic controls that reduce exposure (Hatzivasilis et al., 2019; Wani et al., 2024).</w:t>
      </w:r>
    </w:p>
    <w:p>
      <w:pPr>
        <w:spacing w:line="259" w:lineRule="auto" w:after="80"/>
        <w:jc w:val="both"/>
      </w:pPr>
      <w:r>
        <w:rPr>
          <w:rFonts w:ascii="Times New Roman" w:hAnsi="Times New Roman"/>
          <w:b w:val="0"/>
          <w:i w:val="0"/>
          <w:color w:val="111111"/>
          <w:sz w:val="20"/>
        </w:rPr>
        <w:t>Privacy-by-design requires limiting collection to the declared purpose and providing a documented retention schedule. Role-based access for clinician, caregiver, and administrator accounts should follow recognised digital-identity guidance for authentication and authenticator management, with a non-biometric fallback available where appropriate (Temoshok et al., 2025). Pseudonymisation may reduce exposure but does not eliminate re-identification risk when contextual fields are rich. Access should be role-based and periodically reviewed. Privacy testing should include export, backup, logging, and support workflows because sensitive data often escape the primary database through secondary operational processes rather than through the intended analytical path.</w:t>
      </w:r>
    </w:p>
    <w:p>
      <w:pPr>
        <w:spacing w:line="259" w:lineRule="auto" w:after="80"/>
        <w:jc w:val="both"/>
      </w:pPr>
      <w:r>
        <w:rPr>
          <w:rFonts w:ascii="Times New Roman" w:hAnsi="Times New Roman"/>
          <w:b w:val="0"/>
          <w:i w:val="0"/>
          <w:color w:val="111111"/>
          <w:sz w:val="20"/>
        </w:rPr>
        <w:t>Performance monitoring after deployment should cover completion and non-wear rate, transmission success, latency, battery duration, missingness, false-alert rate, usability, adherence, and clinician review time. Monitoring needs reference ranges, alert thresholds, and an investigation procedure. A change in output distribution may reflect population change, a platform update, device replacement, reviewer behaviour, or a genuine change in the underlying phenomenon. Automated retraining should not occur merely because drift is detected; the cause and safety consequences must be understood before the production system is modified.</w:t>
      </w:r>
    </w:p>
    <w:p>
      <w:pPr>
        <w:spacing w:line="259" w:lineRule="auto" w:after="80"/>
        <w:jc w:val="both"/>
      </w:pPr>
      <w:r>
        <w:rPr>
          <w:rFonts w:ascii="Times New Roman" w:hAnsi="Times New Roman"/>
          <w:b w:val="0"/>
          <w:i w:val="0"/>
          <w:color w:val="111111"/>
          <w:sz w:val="20"/>
        </w:rPr>
        <w:t>Subgroup analysis should be planned before final evaluation. Relevant groupings may involve language, age, device, environment, experience, accessibility requirement, or service setting. Small groups require careful uncertainty reporting and should not be omitted simply because estimates are less precise. If a subgroup cannot be evaluated adequately, the limitation should define a deployment restriction or a targeted data-collection priority rather than being reduced to a brief caveat.</w:t>
      </w:r>
    </w:p>
    <w:p>
      <w:pPr>
        <w:spacing w:line="259" w:lineRule="auto" w:after="80"/>
        <w:jc w:val="both"/>
      </w:pPr>
      <w:r>
        <w:rPr>
          <w:rFonts w:ascii="Times New Roman" w:hAnsi="Times New Roman"/>
          <w:b w:val="0"/>
          <w:i w:val="0"/>
          <w:color w:val="111111"/>
          <w:sz w:val="20"/>
        </w:rPr>
        <w:t>Usability evaluation should use representative tasks and realistic constraints. Participants should encounter routine cases, ambiguous evidence, system warnings, and a recoverable failure. Researchers should measure task completion, time, navigation errors, interpretation, confidence calibration, and use of help or escalation. Think-aloud methods and post-task interviews can explain why an error occurred. Satisfaction scores alone cannot establish that users understood the output or relied on it appropriately.</w:t>
      </w:r>
    </w:p>
    <w:p>
      <w:pPr>
        <w:spacing w:line="259" w:lineRule="auto" w:after="80"/>
        <w:jc w:val="both"/>
      </w:pPr>
      <w:r>
        <w:rPr>
          <w:rFonts w:ascii="Times New Roman" w:hAnsi="Times New Roman"/>
          <w:b w:val="0"/>
          <w:i w:val="0"/>
          <w:color w:val="111111"/>
          <w:sz w:val="20"/>
        </w:rPr>
        <w:t>Operational resilience requires graceful degradation. When connectivity, sensors, external services, or analytical modules are unavailable, the system should preserve data safely, communicate status accurately, and provide an alternative workflow. Recovery testing should confirm that queued records are processed once, not lost or duplicated, and that timestamps remain interpretable. Business-continuity plans should identify minimum functions, responsible personnel, backup locations, and the maximum acceptable interruption.</w:t>
      </w:r>
    </w:p>
    <w:p>
      <w:pPr>
        <w:spacing w:line="259" w:lineRule="auto" w:after="80"/>
        <w:jc w:val="both"/>
      </w:pPr>
      <w:r>
        <w:rPr>
          <w:rFonts w:ascii="Times New Roman" w:hAnsi="Times New Roman"/>
          <w:b w:val="0"/>
          <w:i w:val="0"/>
          <w:color w:val="111111"/>
          <w:sz w:val="20"/>
        </w:rPr>
        <w:t>A staged implementation is necessary because a supervised pilot with device training, fallback reporting, escalation rules, data-minimisation controls, technical support, and clinical safety review. The offline stage verifies component behaviour; a sandbox stage tests integration without affecting real decisions; a limited pilot examines usability and workflow; supervised operation evaluates real-world errors; and broader release occurs only after predefined criteria are met. Each stage should produce a decision record documenting evidence, unresolved risks, corrective actions, and approval to proceed.</w:t>
      </w:r>
    </w:p>
    <w:p>
      <w:pPr>
        <w:spacing w:line="259" w:lineRule="auto" w:after="80"/>
        <w:jc w:val="both"/>
      </w:pPr>
      <w:r>
        <w:rPr>
          <w:rFonts w:ascii="Times New Roman" w:hAnsi="Times New Roman"/>
          <w:b w:val="0"/>
          <w:i w:val="0"/>
          <w:color w:val="111111"/>
          <w:sz w:val="20"/>
        </w:rPr>
        <w:t>Economic evaluation should consider more than development expenditure. Relevant costs include data preparation, hardware replacement, software licences, security review, user training, reviewer time, technical support, monitoring, incident response, and future migration. Benefits should be linked to measurable workflow or quality outcomes rather than to general claims of innovation. A sustainable design identifies the organisation responsible for recurring costs after the research project or initial grant ends.</w:t>
      </w:r>
    </w:p>
    <w:p>
      <w:pPr>
        <w:spacing w:line="259" w:lineRule="auto" w:after="80"/>
        <w:jc w:val="both"/>
      </w:pPr>
      <w:r>
        <w:rPr>
          <w:rFonts w:ascii="Times New Roman" w:hAnsi="Times New Roman"/>
          <w:b w:val="0"/>
          <w:i w:val="0"/>
          <w:color w:val="111111"/>
          <w:sz w:val="20"/>
        </w:rPr>
        <w:t>Interoperability should be addressed at syntactic, semantic, and organisational levels. Structural and semantic interoperability with electronic health records can be supported by established health-data exchange standards such as HL7 FHIR, which defines modular resources and application programming interfaces for representing and sharing clinical information (Health Level Seven International, 2023). Compatible file formats do not guarantee that two systems interpret a field in the same way or are authorised to exchange it. The implementation should use controlled vocabularies where available, version interfaces, validate incoming messages, and document ownership. Integration testing must cover error handling and reconciliation, not only successful transfer of ideal records.</w:t>
      </w:r>
    </w:p>
    <w:p>
      <w:pPr>
        <w:spacing w:line="259" w:lineRule="auto" w:after="80"/>
        <w:jc w:val="both"/>
      </w:pPr>
      <w:r>
        <w:rPr>
          <w:rFonts w:ascii="Times New Roman" w:hAnsi="Times New Roman"/>
          <w:b w:val="0"/>
          <w:i w:val="0"/>
          <w:color w:val="111111"/>
          <w:sz w:val="20"/>
        </w:rPr>
        <w:t>Change management should classify modifications by their possible impact. Cosmetic wording changes, dependency patches, new devices, revised thresholds, altered features, and replacement models do not carry the same risk. High-impact changes require regression testing and possibly renewed human-subject, privacy, security, or domain review. Release notes should describe the change, rationale, evidence, compatibility implications, rollback procedure, and person approving deployment.</w:t>
      </w:r>
    </w:p>
    <w:p>
      <w:pPr>
        <w:spacing w:line="259" w:lineRule="auto" w:after="80"/>
        <w:jc w:val="both"/>
      </w:pPr>
      <w:r>
        <w:rPr>
          <w:rFonts w:ascii="Times New Roman" w:hAnsi="Times New Roman"/>
          <w:b w:val="0"/>
          <w:i w:val="0"/>
          <w:color w:val="111111"/>
          <w:sz w:val="20"/>
        </w:rPr>
        <w:t>The major known hazards include sensor-derived activity being mistaken for pain, digital exclusion, alert fatigue, missing data, privacy loss, poor interoperability, and unsafe automated interpretation. Hazard analysis should examine combinations rather than treating each risk independently. For example, degraded input quality combined with high reviewer workload may be more dangerous than either condition alone. Scenario tables and fault-tree or failure-mode analysis can help trace how technical, human, and organisational weaknesses interact. Controls should prioritise preventing severe harm and detecting conditions that remain outside the validated operating boundary.</w:t>
      </w:r>
    </w:p>
    <w:p>
      <w:pPr>
        <w:spacing w:line="259" w:lineRule="auto" w:after="80"/>
        <w:jc w:val="both"/>
      </w:pPr>
      <w:r>
        <w:rPr>
          <w:rFonts w:ascii="Times New Roman" w:hAnsi="Times New Roman"/>
          <w:b w:val="0"/>
          <w:i w:val="0"/>
          <w:color w:val="111111"/>
          <w:sz w:val="20"/>
        </w:rPr>
        <w:t>Reporting should separate development observations, validation results, and operational evidence. The manuscript or technical report should make clear which statements are supported directly by data, which are interpretations, and which are proposed requirements for future testing. Negative and inconclusive results are important because they define where the technology should not be trusted. Selective presentation of only the best-performing configuration would weaken both scientific reproducibility and responsible governance.</w:t>
      </w:r>
    </w:p>
    <w:p>
      <w:pPr>
        <w:spacing w:line="259" w:lineRule="auto" w:after="80"/>
        <w:jc w:val="both"/>
      </w:pPr>
      <w:r>
        <w:rPr>
          <w:rFonts w:ascii="Times New Roman" w:hAnsi="Times New Roman"/>
          <w:b w:val="0"/>
          <w:i w:val="0"/>
          <w:color w:val="111111"/>
          <w:sz w:val="20"/>
        </w:rPr>
        <w:t>A final readiness review should verify that the technical file, user documentation, training materials, monitoring plan, risk register, incident procedure, and maintenance ownership are mutually consistent. Readiness is not achieved merely because a prototype runs successfully. Deployment should be postponed when critical evidence is missing, when staff cannot provide oversight, or when fallback procedures have not been exercised. This conservative criterion protects users and preserves the credibility of subsequent evaluation.</w:t>
      </w:r>
    </w:p>
    <w:p>
      <w:pPr>
        <w:spacing w:line="259" w:lineRule="auto" w:after="80"/>
        <w:jc w:val="both"/>
      </w:pPr>
      <w:r>
        <w:rPr>
          <w:rFonts w:ascii="Times New Roman" w:hAnsi="Times New Roman"/>
          <w:b w:val="0"/>
          <w:i w:val="0"/>
          <w:color w:val="111111"/>
          <w:sz w:val="20"/>
        </w:rPr>
        <w:t>Prototype evaluation for a person-centred IoT monitoring architecture that supports rather than replaces clinical judgement should use an implementation dossier prepared before testing begins. The dossier should contain the architecture diagram, data dictionary, software bill of materials, configuration baseline, test cases, risk register, and decision log. Preparing these materials early reveals missing assumptions and prevents documentation from being reconstructed retrospectively after favourable results are known. The dossier also provides a stable reference for independent reviewers and later replication.</w:t>
      </w:r>
    </w:p>
    <w:p>
      <w:pPr>
        <w:spacing w:line="259" w:lineRule="auto" w:after="80"/>
        <w:jc w:val="both"/>
      </w:pPr>
      <w:r>
        <w:rPr>
          <w:rFonts w:ascii="Times New Roman" w:hAnsi="Times New Roman"/>
          <w:b w:val="0"/>
          <w:i w:val="0"/>
          <w:color w:val="111111"/>
          <w:sz w:val="20"/>
        </w:rPr>
        <w:t>Test cases should be derived from requirements and hazards. Positive cases confirm expected functions, boundary cases examine limits, negative cases verify rejection or abstention, and recovery cases examine behaviour after interruption or corrupted input. Every critical requirement should map to at least one test, and every high-severity hazard should map to a control verification. Coverage should be reported explicitly rather than inferred from the number of tests conducted.</w:t>
      </w:r>
    </w:p>
    <w:p>
      <w:pPr>
        <w:spacing w:line="259" w:lineRule="auto" w:after="80"/>
        <w:jc w:val="both"/>
      </w:pPr>
      <w:r>
        <w:rPr>
          <w:rFonts w:ascii="Times New Roman" w:hAnsi="Times New Roman"/>
          <w:b w:val="0"/>
          <w:i w:val="0"/>
          <w:color w:val="111111"/>
          <w:sz w:val="20"/>
        </w:rPr>
        <w:t>Pilot sampling should represent the intended operating range, including common cases and difficult conditions. Convenience samples can be useful for early debugging but cannot establish deployment readiness. Recruitment and case selection should document who or what is absent from the evidence. Where rare but serious events cannot be sampled prospectively, carefully designed simulations or retrospective challenge sets may supplement—but should not be confused with—field effectiveness evidence.</w:t>
      </w:r>
    </w:p>
    <w:p>
      <w:pPr>
        <w:spacing w:line="259" w:lineRule="auto" w:after="80"/>
        <w:jc w:val="both"/>
      </w:pPr>
      <w:r>
        <w:rPr>
          <w:rFonts w:ascii="Times New Roman" w:hAnsi="Times New Roman"/>
          <w:b w:val="0"/>
          <w:i w:val="0"/>
          <w:color w:val="111111"/>
          <w:sz w:val="20"/>
        </w:rPr>
        <w:t>Quantitative analysis should report uncertainty and avoid excessive precision. Confidence intervals, bootstrap estimates, or repeated-test variation can indicate whether apparent differences are stable. Multiple comparisons and repeated tuning on the same validation set can create optimistic findings. A protected final test set, independent replication, or temporal validation helps reduce this risk. Statistical significance should be interpreted together with operational magnitude and consequences.</w:t>
      </w:r>
    </w:p>
    <w:p>
      <w:pPr>
        <w:spacing w:line="259" w:lineRule="auto" w:after="80"/>
        <w:jc w:val="both"/>
      </w:pPr>
      <w:r>
        <w:rPr>
          <w:rFonts w:ascii="Times New Roman" w:hAnsi="Times New Roman"/>
          <w:b w:val="0"/>
          <w:i w:val="0"/>
          <w:color w:val="111111"/>
          <w:sz w:val="20"/>
        </w:rPr>
        <w:t>Qualitative evidence can clarify failures that numeric metrics compress into a single category. Structured review of error examples, user comments, and incident narratives should identify recurring mechanisms and contextual triggers. Coding procedures need definitions and reviewer checks when qualitative categories influence design decisions. Representative examples may be reported after appropriate de-identification, while ensuring that selected examples do not replace systematic analysis of the entire evaluation set.</w:t>
      </w:r>
    </w:p>
    <w:p>
      <w:pPr>
        <w:spacing w:line="259" w:lineRule="auto" w:after="80"/>
        <w:jc w:val="both"/>
      </w:pPr>
      <w:r>
        <w:rPr>
          <w:rFonts w:ascii="Times New Roman" w:hAnsi="Times New Roman"/>
          <w:b w:val="0"/>
          <w:i w:val="0"/>
          <w:color w:val="111111"/>
          <w:sz w:val="20"/>
        </w:rPr>
        <w:t>Acceptance criteria should be hierarchical. Critical safety, privacy, security, and data-integrity requirements must pass before optimisation of convenience or speed. Secondary targets can guide improvement but should not compensate for a failed critical control. The evaluation report should list every criterion, observed result, disposition, and corrective action. Conditional acceptance must identify an owner and deadline rather than remaining an indefinite exception.</w:t>
      </w:r>
    </w:p>
    <w:p>
      <w:pPr>
        <w:spacing w:line="259" w:lineRule="auto" w:after="80"/>
        <w:jc w:val="both"/>
      </w:pPr>
      <w:r>
        <w:rPr>
          <w:rFonts w:ascii="Times New Roman" w:hAnsi="Times New Roman"/>
          <w:b w:val="0"/>
          <w:i w:val="0"/>
          <w:color w:val="111111"/>
          <w:sz w:val="20"/>
        </w:rPr>
        <w:t>External review is valuable when the development team has made many interconnected design choices. Reviewers can examine whether the evidence supports the declared operating boundary, whether important comparators or risks were omitted, and whether explanations overstate certainty. External review does not transfer accountability away from the deploying organisation, but it can expose assumptions that have become normalised within the project team.</w:t>
      </w:r>
    </w:p>
    <w:p>
      <w:pPr>
        <w:spacing w:line="259" w:lineRule="auto" w:after="80"/>
        <w:jc w:val="both"/>
      </w:pPr>
      <w:r>
        <w:rPr>
          <w:rFonts w:ascii="Times New Roman" w:hAnsi="Times New Roman"/>
          <w:b w:val="0"/>
          <w:i w:val="0"/>
          <w:color w:val="111111"/>
          <w:sz w:val="20"/>
        </w:rPr>
        <w:t>The service workflow should define how outputs reach older adults, caregivers, nurses, physicians, rehabilitation professionals, biomedical engineers, and service administrators, how acknowledgement is recorded, and what happens when an output is not reviewed in time. Queue prioritisation, escalation timing, workload limits, and handover procedures can materially affect outcomes even when the analytical component performs as specified. Operational validation should therefore measure the complete pathway from input acquisition to documented action, not only computation in isolation.</w:t>
      </w:r>
    </w:p>
    <w:p>
      <w:pPr>
        <w:spacing w:line="259" w:lineRule="auto" w:after="80"/>
        <w:jc w:val="both"/>
      </w:pPr>
      <w:r>
        <w:rPr>
          <w:rFonts w:ascii="Times New Roman" w:hAnsi="Times New Roman"/>
          <w:b w:val="0"/>
          <w:i w:val="0"/>
          <w:color w:val="111111"/>
          <w:sz w:val="20"/>
        </w:rPr>
        <w:t>Documentation should be layered for different audiences. A concise user guide explains purpose, limitations, routine tasks, warnings, and support. A reviewer guide explains interpretation and escalation. A technical manual records architecture, installation, configuration, interfaces, monitoring, backup, and recovery. A governance file records approvals, risk decisions, incident procedures, and change control. Inconsistencies among these documents should block release until corrected.</w:t>
      </w:r>
    </w:p>
    <w:p>
      <w:pPr>
        <w:spacing w:line="259" w:lineRule="auto" w:after="80"/>
        <w:jc w:val="both"/>
      </w:pPr>
      <w:r>
        <w:rPr>
          <w:rFonts w:ascii="Times New Roman" w:hAnsi="Times New Roman"/>
          <w:b w:val="0"/>
          <w:i w:val="0"/>
          <w:color w:val="111111"/>
          <w:sz w:val="20"/>
        </w:rPr>
        <w:t>Sustainability also depends on data stewardship. The organisation should determine who can correct records, how corrections propagate to derived outputs, how archived versions remain interpretable, and when data should be destroyed. Long-term access to a file is not equivalent to preservation if formats, software, schemas, or contextual definitions are lost. Periodic restoration and migration tests should be part of maintenance.</w:t>
      </w:r>
    </w:p>
    <w:p>
      <w:pPr>
        <w:spacing w:line="259" w:lineRule="auto" w:after="80"/>
        <w:jc w:val="both"/>
      </w:pPr>
      <w:r>
        <w:rPr>
          <w:rFonts w:ascii="Times New Roman" w:hAnsi="Times New Roman"/>
          <w:b w:val="0"/>
          <w:i w:val="0"/>
          <w:color w:val="111111"/>
          <w:sz w:val="20"/>
        </w:rPr>
        <w:t>Decommissioning criteria should be planned before deployment. A system may need retirement because dependencies are unsupported, performance drifts beyond correction, the purpose changes, risks become unacceptable, or a superior process replaces it. Decommissioning must preserve required records, revoke access, remove credentials, communicate changes, and provide continuity for users. Without such planning, obsolete components can remain active and create hidden operational or security exposure.</w:t>
      </w:r>
    </w:p>
    <w:p>
      <w:pPr>
        <w:spacing w:line="259" w:lineRule="auto" w:after="80"/>
        <w:jc w:val="both"/>
      </w:pPr>
      <w:r>
        <w:rPr>
          <w:rFonts w:ascii="Times New Roman" w:hAnsi="Times New Roman"/>
          <w:b w:val="0"/>
          <w:i w:val="0"/>
          <w:color w:val="111111"/>
          <w:sz w:val="20"/>
        </w:rPr>
        <w:t>The proposed framework should ultimately be judged by whether it enables disciplined learning. Monitoring and incident analysis should feed a controlled improvement cycle: detect a problem, investigate its cause, define a corrective action, test the change, obtain approval, deploy gradually, and verify effectiveness. This cycle converts operational experience into evidence while preventing rapid untested modifications from undermining comparability, safety, or accountability.</w:t>
      </w:r>
    </w:p>
    <w:p>
      <w:pPr>
        <w:spacing w:line="259" w:lineRule="auto" w:after="80"/>
        <w:jc w:val="both"/>
      </w:pPr>
      <w:r>
        <w:rPr>
          <w:rFonts w:ascii="Times New Roman" w:hAnsi="Times New Roman"/>
          <w:b w:val="0"/>
          <w:i w:val="0"/>
          <w:color w:val="111111"/>
          <w:sz w:val="20"/>
        </w:rPr>
        <w:t>Decision accountability should remain visible across organisational boundaries. When vendors provide devices, algorithms, hosting, or support, contracts should specify access to technical evidence, notification of material changes, vulnerability handling, data-return procedures, and assistance during incidents. Procurement teams should evaluate maintainability and auditability alongside advertised performance. Proprietary restrictions that prevent meaningful validation should be treated as a deployment risk rather than as a minor commercial detail.</w:t>
      </w:r>
    </w:p>
    <w:p>
      <w:pPr>
        <w:spacing w:line="259" w:lineRule="auto" w:after="80"/>
        <w:jc w:val="both"/>
      </w:pPr>
      <w:r>
        <w:rPr>
          <w:rFonts w:ascii="Times New Roman" w:hAnsi="Times New Roman"/>
          <w:b w:val="0"/>
          <w:i w:val="0"/>
          <w:color w:val="111111"/>
          <w:sz w:val="20"/>
        </w:rPr>
        <w:t>Environmental and infrastructure constraints should be captured during requirements analysis. Power stability, network coverage, device replacement cycles, physical workspace, noise, lighting, and availability of skilled support may determine whether laboratory performance is transferable. Field tests should record these conditions systematically. If the system requires resources unavailable in the intended setting, the design should be simplified or the operating boundary narrowed before users become dependent on an unreliable service.</w:t>
      </w:r>
    </w:p>
    <w:p>
      <w:pPr>
        <w:spacing w:line="259" w:lineRule="auto" w:after="80"/>
        <w:jc w:val="both"/>
      </w:pPr>
      <w:r>
        <w:rPr>
          <w:rFonts w:ascii="Times New Roman" w:hAnsi="Times New Roman"/>
          <w:b w:val="0"/>
          <w:i w:val="0"/>
          <w:color w:val="111111"/>
          <w:sz w:val="20"/>
        </w:rPr>
        <w:t>Quality assurance should include routine sampling of completed cases for independent review. Sampling can combine random selection with targeted review of warnings, overrides, edge cases, and high-consequence outcomes. Findings should feed calibration, training, interface, and process improvements. Reviewers need protection from hindsight bias: they should assess the evidence that was available at the decision time, then separately examine later information that reveals the outcome.</w:t>
      </w:r>
    </w:p>
    <w:p>
      <w:pPr>
        <w:spacing w:line="259" w:lineRule="auto" w:after="80"/>
        <w:jc w:val="both"/>
      </w:pPr>
      <w:r>
        <w:rPr>
          <w:rFonts w:ascii="Times New Roman" w:hAnsi="Times New Roman"/>
          <w:b w:val="0"/>
          <w:i w:val="0"/>
          <w:color w:val="111111"/>
          <w:sz w:val="20"/>
        </w:rPr>
        <w:t>Communication of limitations should be concrete and action-oriented. Statements such as ‘results may vary’ provide little protection. Users need to know which inputs, populations, devices, environments, or attack types were not validated; which warnings require escalation; and which decisions must not rely on the system alone. Limitations should appear at relevant interaction points and in reports, not only in a long policy page that routine users rarely consult.</w:t>
      </w:r>
    </w:p>
    <w:p>
      <w:pPr>
        <w:spacing w:line="259" w:lineRule="auto" w:after="80"/>
        <w:jc w:val="both"/>
      </w:pPr>
      <w:r>
        <w:rPr>
          <w:rFonts w:ascii="Times New Roman" w:hAnsi="Times New Roman"/>
          <w:b w:val="0"/>
          <w:i w:val="0"/>
          <w:color w:val="111111"/>
          <w:sz w:val="20"/>
        </w:rPr>
        <w:t>The research record should preserve unsuccessful configurations and reasons for rejection. Failed approaches can reveal sensitivity to assumptions, prevent repetition of ineffective work, and demonstrate that the final design was not selected through undisclosed trial and error. Where full artefact sharing is restricted, researchers can still report configuration ranges, test logic, summary failures, and reproducibility instructions without disclosing protected or sensitive source material.</w:t>
      </w:r>
    </w:p>
    <w:p>
      <w:pPr>
        <w:spacing w:line="259" w:lineRule="auto" w:after="80"/>
        <w:jc w:val="both"/>
      </w:pPr>
      <w:r>
        <w:rPr>
          <w:rFonts w:ascii="Times New Roman" w:hAnsi="Times New Roman"/>
          <w:b w:val="0"/>
          <w:i w:val="0"/>
          <w:color w:val="111111"/>
          <w:sz w:val="20"/>
        </w:rPr>
        <w:t>Before publication or operational release, terminology should be reviewed for consistency across the manuscript, software, interface, and training materials. Terms such as detection, authentication, prediction, indication, recommendation, and diagnosis carry different evidentiary meanings. Using them interchangeably can create claims that exceed the validated function. A controlled glossary and editorial review help ensure that technical precision is maintained when results are communicated to non-specialist audiences.</w:t>
      </w:r>
    </w:p>
    <w:p>
      <w:pPr>
        <w:pStyle w:val="JASTEH1"/>
      </w:pPr>
      <w:r>
        <w:t>7. STAKEHOLDER AND HUMAN-CENTRED REQUIREMENTS</w:t>
      </w:r>
    </w:p>
    <w:p>
      <w:pPr>
        <w:spacing w:line="259" w:lineRule="auto" w:after="80"/>
        <w:jc w:val="both"/>
      </w:pPr>
      <w:r>
        <w:rPr>
          <w:rFonts w:ascii="Times New Roman" w:hAnsi="Times New Roman"/>
          <w:b w:val="0"/>
          <w:i w:val="0"/>
          <w:color w:val="111111"/>
          <w:sz w:val="20"/>
        </w:rPr>
        <w:t>The stakeholder ecosystem includes older adults, caregivers, nurses, physicians, rehabilitation professionals, biomedical engineers, and service administrators. Requirements elicitation should combine interviews, task observation, scenario walkthroughs, and prototype testing. Older adults' acceptance of digital health technologies is shaped by usability, self-efficacy, trust, and perceived clinical legitimacy, so adoption barriers should be anticipated in the design process rather than treated as user error after deployment (Hepburn et al., 2025). Each requirement needs an owner, acceptance criterion, priority, and verification method so that broad aspirations such as trust, safety, or usability become testable engineering statements.</w:t>
      </w:r>
    </w:p>
    <w:p>
      <w:pPr>
        <w:spacing w:line="259" w:lineRule="auto" w:after="80"/>
        <w:jc w:val="both"/>
      </w:pPr>
      <w:r>
        <w:rPr>
          <w:rFonts w:ascii="Times New Roman" w:hAnsi="Times New Roman"/>
          <w:b w:val="0"/>
          <w:i w:val="0"/>
          <w:color w:val="111111"/>
          <w:sz w:val="20"/>
        </w:rPr>
        <w:t>User journeys should cover routine use, uncertain cases, failure recovery, withdrawal, and complaint handling. The design team should not evaluate only the shortest successful path. People often encounter a system when evidence is incomplete, devices fail, or the recommended action conflicts with their own judgement; these situations reveal whether oversight and fallback mechanisms are operational.</w:t>
      </w:r>
    </w:p>
    <w:p>
      <w:pPr>
        <w:spacing w:line="259" w:lineRule="auto" w:after="80"/>
        <w:jc w:val="both"/>
      </w:pPr>
      <w:r>
        <w:rPr>
          <w:rFonts w:ascii="Times New Roman" w:hAnsi="Times New Roman"/>
          <w:b w:val="0"/>
          <w:i w:val="0"/>
          <w:color w:val="111111"/>
          <w:sz w:val="20"/>
        </w:rPr>
        <w:t>Accessibility assessment should include visual, hearing, motor, cognitive, language, and digital-literacy considerations relevant to the target population. Adjustable presentation, plain-language explanations, adequate contrast, keyboard or assistive-technology compatibility, and alternative verification routes should be tested with representative users rather than inferred from design-team judgement.</w:t>
      </w:r>
    </w:p>
    <w:p>
      <w:pPr>
        <w:spacing w:line="259" w:lineRule="auto" w:after="80"/>
        <w:jc w:val="both"/>
      </w:pPr>
      <w:r>
        <w:rPr>
          <w:rFonts w:ascii="Times New Roman" w:hAnsi="Times New Roman"/>
          <w:b w:val="0"/>
          <w:i w:val="0"/>
          <w:color w:val="111111"/>
          <w:sz w:val="20"/>
        </w:rPr>
        <w:t>Acceptance should not be equated with trust or safety. Users may accept a system because it is mandatory, convenient, or presented as authoritative. Evaluation should therefore distinguish adoption intention, task performance, correct understanding, appropriate reliance, and the ability to challenge or bypass an incorrect recommendation.</w:t>
      </w:r>
    </w:p>
    <w:p>
      <w:pPr>
        <w:spacing w:before="100" w:after="60"/>
        <w:jc w:val="center"/>
      </w:pPr>
      <w:r>
        <w:rPr>
          <w:rFonts w:ascii="Times New Roman" w:hAnsi="Times New Roman"/>
          <w:b/>
          <w:i w:val="0"/>
          <w:color w:val="111111"/>
          <w:sz w:val="18"/>
        </w:rPr>
        <w:t>Table 6. Stakeholder Requirement Matrix</w:t>
      </w:r>
    </w:p>
    <w:tbl>
      <w:tblPr>
        <w:tblW w:type="auto" w:w="0"/>
        <w:jc w:val="center"/>
        <w:tblLayout w:type="fixed"/>
        <w:tblLook w:firstColumn="1" w:firstRow="1" w:lastColumn="0" w:lastRow="0" w:noHBand="0" w:noVBand="1" w:val="04A0"/>
        <w:tblBorders>
          <w:top w:val="single" w:sz="4" w:color="AFC3E0"/>
          <w:left w:val="single" w:sz="4" w:color="AFC3E0"/>
          <w:bottom w:val="single" w:sz="4" w:color="AFC3E0"/>
          <w:right w:val="single" w:sz="4" w:color="AFC3E0"/>
          <w:insideH w:val="single" w:sz="4" w:color="AFC3E0"/>
          <w:insideV w:val="single" w:sz="4" w:color="AFC3E0"/>
        </w:tblBorders>
      </w:tblPr>
      <w:tblGrid>
        <w:gridCol w:w="3213"/>
        <w:gridCol w:w="3213"/>
        <w:gridCol w:w="3213"/>
      </w:tblGrid>
      <w:tr>
        <w:tc>
          <w:tcPr>
            <w:tcW w:type="dxa" w:w="3213"/>
            <w:shd w:fill="2F66B3"/>
          </w:tcPr>
          <w:p>
            <w:pPr>
              <w:jc w:val="center"/>
            </w:pPr>
            <w:r>
              <w:rPr>
                <w:rFonts w:ascii="Times New Roman" w:hAnsi="Times New Roman"/>
                <w:b/>
                <w:i w:val="0"/>
                <w:color w:val="FFFFFF"/>
                <w:sz w:val="15"/>
              </w:rPr>
              <w:t>Stakeholder</w:t>
            </w:r>
          </w:p>
        </w:tc>
        <w:tc>
          <w:tcPr>
            <w:tcW w:type="dxa" w:w="3213"/>
            <w:shd w:fill="2F66B3"/>
          </w:tcPr>
          <w:p>
            <w:pPr>
              <w:jc w:val="center"/>
            </w:pPr>
            <w:r>
              <w:rPr>
                <w:rFonts w:ascii="Times New Roman" w:hAnsi="Times New Roman"/>
                <w:b/>
                <w:i w:val="0"/>
                <w:color w:val="FFFFFF"/>
                <w:sz w:val="15"/>
              </w:rPr>
              <w:t>Primary need</w:t>
            </w:r>
          </w:p>
        </w:tc>
        <w:tc>
          <w:tcPr>
            <w:tcW w:type="dxa" w:w="3213"/>
            <w:shd w:fill="2F66B3"/>
          </w:tcPr>
          <w:p>
            <w:pPr>
              <w:jc w:val="center"/>
            </w:pPr>
            <w:r>
              <w:rPr>
                <w:rFonts w:ascii="Times New Roman" w:hAnsi="Times New Roman"/>
                <w:b/>
                <w:i w:val="0"/>
                <w:color w:val="FFFFFF"/>
                <w:sz w:val="15"/>
              </w:rPr>
              <w:t>Verification</w:t>
            </w:r>
          </w:p>
        </w:tc>
      </w:tr>
      <w:tr>
        <w:tc>
          <w:tcPr>
            <w:tcW w:type="dxa" w:w="3213"/>
            <w:vAlign w:val="center"/>
          </w:tcPr>
          <w:p>
            <w:pPr>
              <w:spacing w:after="0"/>
            </w:pPr>
            <w:r>
              <w:rPr>
                <w:rFonts w:ascii="Times New Roman" w:hAnsi="Times New Roman"/>
                <w:b w:val="0"/>
                <w:i w:val="0"/>
                <w:color w:val="111111"/>
                <w:sz w:val="15"/>
              </w:rPr>
              <w:t>older adults</w:t>
            </w:r>
          </w:p>
        </w:tc>
        <w:tc>
          <w:tcPr>
            <w:tcW w:type="dxa" w:w="3213"/>
            <w:vAlign w:val="center"/>
          </w:tcPr>
          <w:p>
            <w:pPr>
              <w:spacing w:after="0"/>
            </w:pPr>
            <w:r>
              <w:rPr>
                <w:rFonts w:ascii="Times New Roman" w:hAnsi="Times New Roman"/>
                <w:b w:val="0"/>
                <w:i w:val="0"/>
                <w:color w:val="111111"/>
                <w:sz w:val="15"/>
              </w:rPr>
              <w:t>Accessible and understandable interaction</w:t>
            </w:r>
          </w:p>
        </w:tc>
        <w:tc>
          <w:tcPr>
            <w:tcW w:type="dxa" w:w="3213"/>
            <w:vAlign w:val="center"/>
          </w:tcPr>
          <w:p>
            <w:pPr>
              <w:spacing w:after="0"/>
            </w:pPr>
            <w:r>
              <w:rPr>
                <w:rFonts w:ascii="Times New Roman" w:hAnsi="Times New Roman"/>
                <w:b w:val="0"/>
                <w:i w:val="0"/>
                <w:color w:val="111111"/>
                <w:sz w:val="15"/>
              </w:rPr>
              <w:t>Observed representative tasks</w:t>
            </w:r>
          </w:p>
        </w:tc>
      </w:tr>
      <w:tr>
        <w:tc>
          <w:tcPr>
            <w:tcW w:type="dxa" w:w="3213"/>
            <w:vAlign w:val="center"/>
          </w:tcPr>
          <w:p>
            <w:pPr>
              <w:spacing w:after="0"/>
            </w:pPr>
            <w:r>
              <w:rPr>
                <w:rFonts w:ascii="Times New Roman" w:hAnsi="Times New Roman"/>
                <w:b w:val="0"/>
                <w:i w:val="0"/>
                <w:color w:val="111111"/>
                <w:sz w:val="15"/>
              </w:rPr>
              <w:t>Domain reviewer</w:t>
            </w:r>
          </w:p>
        </w:tc>
        <w:tc>
          <w:tcPr>
            <w:tcW w:type="dxa" w:w="3213"/>
            <w:vAlign w:val="center"/>
          </w:tcPr>
          <w:p>
            <w:pPr>
              <w:spacing w:after="0"/>
            </w:pPr>
            <w:r>
              <w:rPr>
                <w:rFonts w:ascii="Times New Roman" w:hAnsi="Times New Roman"/>
                <w:b w:val="0"/>
                <w:i w:val="0"/>
                <w:color w:val="111111"/>
                <w:sz w:val="15"/>
              </w:rPr>
              <w:t>Interpretable evidence and escalation</w:t>
            </w:r>
          </w:p>
        </w:tc>
        <w:tc>
          <w:tcPr>
            <w:tcW w:type="dxa" w:w="3213"/>
            <w:vAlign w:val="center"/>
          </w:tcPr>
          <w:p>
            <w:pPr>
              <w:spacing w:after="0"/>
            </w:pPr>
            <w:r>
              <w:rPr>
                <w:rFonts w:ascii="Times New Roman" w:hAnsi="Times New Roman"/>
                <w:b w:val="0"/>
                <w:i w:val="0"/>
                <w:color w:val="111111"/>
                <w:sz w:val="15"/>
              </w:rPr>
              <w:t>Scenario-based review</w:t>
            </w:r>
          </w:p>
        </w:tc>
      </w:tr>
      <w:tr>
        <w:tc>
          <w:tcPr>
            <w:tcW w:type="dxa" w:w="3213"/>
            <w:vAlign w:val="center"/>
          </w:tcPr>
          <w:p>
            <w:pPr>
              <w:spacing w:after="0"/>
            </w:pPr>
            <w:r>
              <w:rPr>
                <w:rFonts w:ascii="Times New Roman" w:hAnsi="Times New Roman"/>
                <w:b w:val="0"/>
                <w:i w:val="0"/>
                <w:color w:val="111111"/>
                <w:sz w:val="15"/>
              </w:rPr>
              <w:t>Administrator</w:t>
            </w:r>
          </w:p>
        </w:tc>
        <w:tc>
          <w:tcPr>
            <w:tcW w:type="dxa" w:w="3213"/>
            <w:vAlign w:val="center"/>
          </w:tcPr>
          <w:p>
            <w:pPr>
              <w:spacing w:after="0"/>
            </w:pPr>
            <w:r>
              <w:rPr>
                <w:rFonts w:ascii="Times New Roman" w:hAnsi="Times New Roman"/>
                <w:b w:val="0"/>
                <w:i w:val="0"/>
                <w:color w:val="111111"/>
                <w:sz w:val="15"/>
              </w:rPr>
              <w:t>Accountability and maintainability</w:t>
            </w:r>
          </w:p>
        </w:tc>
        <w:tc>
          <w:tcPr>
            <w:tcW w:type="dxa" w:w="3213"/>
            <w:vAlign w:val="center"/>
          </w:tcPr>
          <w:p>
            <w:pPr>
              <w:spacing w:after="0"/>
            </w:pPr>
            <w:r>
              <w:rPr>
                <w:rFonts w:ascii="Times New Roman" w:hAnsi="Times New Roman"/>
                <w:b w:val="0"/>
                <w:i w:val="0"/>
                <w:color w:val="111111"/>
                <w:sz w:val="15"/>
              </w:rPr>
              <w:t>Audit and recovery test</w:t>
            </w:r>
          </w:p>
        </w:tc>
      </w:tr>
      <w:tr>
        <w:tc>
          <w:tcPr>
            <w:tcW w:type="dxa" w:w="3213"/>
            <w:vAlign w:val="center"/>
          </w:tcPr>
          <w:p>
            <w:pPr>
              <w:spacing w:after="0"/>
            </w:pPr>
            <w:r>
              <w:rPr>
                <w:rFonts w:ascii="Times New Roman" w:hAnsi="Times New Roman"/>
                <w:b w:val="0"/>
                <w:i w:val="0"/>
                <w:color w:val="111111"/>
                <w:sz w:val="15"/>
              </w:rPr>
              <w:t>Developer</w:t>
            </w:r>
          </w:p>
        </w:tc>
        <w:tc>
          <w:tcPr>
            <w:tcW w:type="dxa" w:w="3213"/>
            <w:vAlign w:val="center"/>
          </w:tcPr>
          <w:p>
            <w:pPr>
              <w:spacing w:after="0"/>
            </w:pPr>
            <w:r>
              <w:rPr>
                <w:rFonts w:ascii="Times New Roman" w:hAnsi="Times New Roman"/>
                <w:b w:val="0"/>
                <w:i w:val="0"/>
                <w:color w:val="111111"/>
                <w:sz w:val="15"/>
              </w:rPr>
              <w:t>Traceable and testable specifications</w:t>
            </w:r>
          </w:p>
        </w:tc>
        <w:tc>
          <w:tcPr>
            <w:tcW w:type="dxa" w:w="3213"/>
            <w:vAlign w:val="center"/>
          </w:tcPr>
          <w:p>
            <w:pPr>
              <w:spacing w:after="0"/>
            </w:pPr>
            <w:r>
              <w:rPr>
                <w:rFonts w:ascii="Times New Roman" w:hAnsi="Times New Roman"/>
                <w:b w:val="0"/>
                <w:i w:val="0"/>
                <w:color w:val="111111"/>
                <w:sz w:val="15"/>
              </w:rPr>
              <w:t>Requirements coverage</w:t>
            </w:r>
          </w:p>
        </w:tc>
      </w:tr>
    </w:tbl>
    <w:p>
      <w:pPr>
        <w:pStyle w:val="JASTEH1"/>
      </w:pPr>
      <w:r>
        <w:t>8. IMPLEMENTATION AND OPERATIONAL ROADMAP</w:t>
      </w:r>
    </w:p>
    <w:p>
      <w:pPr>
        <w:spacing w:line="259" w:lineRule="auto" w:after="80"/>
        <w:jc w:val="both"/>
      </w:pPr>
      <w:r>
        <w:rPr>
          <w:rFonts w:ascii="Times New Roman" w:hAnsi="Times New Roman"/>
          <w:b w:val="0"/>
          <w:i w:val="0"/>
          <w:color w:val="111111"/>
          <w:sz w:val="20"/>
        </w:rPr>
        <w:t>The proposed deployment model is a supervised pilot with device training, fallback reporting, escalation rules, data-minimisation controls, technical support, and clinical safety review. Trial evidence from remote patient monitoring of other noncommunicable diseases suggests that structured monitoring pathways can reduce hospitalisations and unplanned care utilisation when paired with a timely clinical response, which is a relevant benchmark for staged rollout (Smedslund et al., 2025). Implementation should proceed from offline verification to a limited pilot, supervised operational use, and only then broader release. Each stage needs entry and exit criteria covering technical performance, safety, usability, training, support capacity, and unresolved risks.</w:t>
      </w:r>
    </w:p>
    <w:p>
      <w:pPr>
        <w:spacing w:line="259" w:lineRule="auto" w:after="80"/>
        <w:jc w:val="both"/>
      </w:pPr>
      <w:r>
        <w:rPr>
          <w:rFonts w:ascii="Times New Roman" w:hAnsi="Times New Roman"/>
          <w:b w:val="0"/>
          <w:i w:val="0"/>
          <w:color w:val="111111"/>
          <w:sz w:val="20"/>
        </w:rPr>
        <w:t>Operational monitoring should distinguish service health from decision quality. Availability, latency, battery use, failed uploads, and processing errors describe service health; calibration drift, false-alert patterns, reviewer overrides, user complaints, and subgroup disparities describe decision quality. Both categories require dashboards and predefined investigation thresholds.</w:t>
      </w:r>
    </w:p>
    <w:p>
      <w:pPr>
        <w:spacing w:before="100" w:after="60"/>
        <w:jc w:val="center"/>
      </w:pPr>
      <w:r>
        <w:rPr>
          <w:rFonts w:ascii="Times New Roman" w:hAnsi="Times New Roman"/>
          <w:b/>
          <w:i w:val="0"/>
          <w:color w:val="111111"/>
          <w:sz w:val="18"/>
        </w:rPr>
        <w:t>Table 7. Staged Implementation Roadmap</w:t>
      </w:r>
    </w:p>
    <w:tbl>
      <w:tblPr>
        <w:tblW w:type="auto" w:w="0"/>
        <w:jc w:val="center"/>
        <w:tblLayout w:type="fixed"/>
        <w:tblLook w:firstColumn="1" w:firstRow="1" w:lastColumn="0" w:lastRow="0" w:noHBand="0" w:noVBand="1" w:val="04A0"/>
        <w:tblBorders>
          <w:top w:val="single" w:sz="4" w:color="AFC3E0"/>
          <w:left w:val="single" w:sz="4" w:color="AFC3E0"/>
          <w:bottom w:val="single" w:sz="4" w:color="AFC3E0"/>
          <w:right w:val="single" w:sz="4" w:color="AFC3E0"/>
          <w:insideH w:val="single" w:sz="4" w:color="AFC3E0"/>
          <w:insideV w:val="single" w:sz="4" w:color="AFC3E0"/>
        </w:tblBorders>
      </w:tblPr>
      <w:tblGrid>
        <w:gridCol w:w="3213"/>
        <w:gridCol w:w="3213"/>
        <w:gridCol w:w="3213"/>
      </w:tblGrid>
      <w:tr>
        <w:tc>
          <w:tcPr>
            <w:tcW w:type="dxa" w:w="3213"/>
            <w:shd w:fill="2F66B3"/>
          </w:tcPr>
          <w:p>
            <w:pPr>
              <w:jc w:val="center"/>
            </w:pPr>
            <w:r>
              <w:rPr>
                <w:rFonts w:ascii="Times New Roman" w:hAnsi="Times New Roman"/>
                <w:b/>
                <w:i w:val="0"/>
                <w:color w:val="FFFFFF"/>
                <w:sz w:val="15"/>
              </w:rPr>
              <w:t>Stage</w:t>
            </w:r>
          </w:p>
        </w:tc>
        <w:tc>
          <w:tcPr>
            <w:tcW w:type="dxa" w:w="3213"/>
            <w:shd w:fill="2F66B3"/>
          </w:tcPr>
          <w:p>
            <w:pPr>
              <w:jc w:val="center"/>
            </w:pPr>
            <w:r>
              <w:rPr>
                <w:rFonts w:ascii="Times New Roman" w:hAnsi="Times New Roman"/>
                <w:b/>
                <w:i w:val="0"/>
                <w:color w:val="FFFFFF"/>
                <w:sz w:val="15"/>
              </w:rPr>
              <w:t>Purpose</w:t>
            </w:r>
          </w:p>
        </w:tc>
        <w:tc>
          <w:tcPr>
            <w:tcW w:type="dxa" w:w="3213"/>
            <w:shd w:fill="2F66B3"/>
          </w:tcPr>
          <w:p>
            <w:pPr>
              <w:jc w:val="center"/>
            </w:pPr>
            <w:r>
              <w:rPr>
                <w:rFonts w:ascii="Times New Roman" w:hAnsi="Times New Roman"/>
                <w:b/>
                <w:i w:val="0"/>
                <w:color w:val="FFFFFF"/>
                <w:sz w:val="15"/>
              </w:rPr>
              <w:t>Exit criterion</w:t>
            </w:r>
          </w:p>
        </w:tc>
      </w:tr>
      <w:tr>
        <w:tc>
          <w:tcPr>
            <w:tcW w:type="dxa" w:w="3213"/>
            <w:vAlign w:val="center"/>
          </w:tcPr>
          <w:p>
            <w:pPr>
              <w:spacing w:after="0"/>
            </w:pPr>
            <w:r>
              <w:rPr>
                <w:rFonts w:ascii="Times New Roman" w:hAnsi="Times New Roman"/>
                <w:b w:val="0"/>
                <w:i w:val="0"/>
                <w:color w:val="111111"/>
                <w:sz w:val="15"/>
              </w:rPr>
              <w:t>Offline verification</w:t>
            </w:r>
          </w:p>
        </w:tc>
        <w:tc>
          <w:tcPr>
            <w:tcW w:type="dxa" w:w="3213"/>
            <w:vAlign w:val="center"/>
          </w:tcPr>
          <w:p>
            <w:pPr>
              <w:spacing w:after="0"/>
            </w:pPr>
            <w:r>
              <w:rPr>
                <w:rFonts w:ascii="Times New Roman" w:hAnsi="Times New Roman"/>
                <w:b w:val="0"/>
                <w:i w:val="0"/>
                <w:color w:val="111111"/>
                <w:sz w:val="15"/>
              </w:rPr>
              <w:t>Check component correctness and reproducibility</w:t>
            </w:r>
          </w:p>
        </w:tc>
        <w:tc>
          <w:tcPr>
            <w:tcW w:type="dxa" w:w="3213"/>
            <w:vAlign w:val="center"/>
          </w:tcPr>
          <w:p>
            <w:pPr>
              <w:spacing w:after="0"/>
            </w:pPr>
            <w:r>
              <w:rPr>
                <w:rFonts w:ascii="Times New Roman" w:hAnsi="Times New Roman"/>
                <w:b w:val="0"/>
                <w:i w:val="0"/>
                <w:color w:val="111111"/>
                <w:sz w:val="15"/>
              </w:rPr>
              <w:t>Documented pass/fail evidence</w:t>
            </w:r>
          </w:p>
        </w:tc>
      </w:tr>
      <w:tr>
        <w:tc>
          <w:tcPr>
            <w:tcW w:type="dxa" w:w="3213"/>
            <w:vAlign w:val="center"/>
          </w:tcPr>
          <w:p>
            <w:pPr>
              <w:spacing w:after="0"/>
            </w:pPr>
            <w:r>
              <w:rPr>
                <w:rFonts w:ascii="Times New Roman" w:hAnsi="Times New Roman"/>
                <w:b w:val="0"/>
                <w:i w:val="0"/>
                <w:color w:val="111111"/>
                <w:sz w:val="15"/>
              </w:rPr>
              <w:t>Limited pilot</w:t>
            </w:r>
          </w:p>
        </w:tc>
        <w:tc>
          <w:tcPr>
            <w:tcW w:type="dxa" w:w="3213"/>
            <w:vAlign w:val="center"/>
          </w:tcPr>
          <w:p>
            <w:pPr>
              <w:spacing w:after="0"/>
            </w:pPr>
            <w:r>
              <w:rPr>
                <w:rFonts w:ascii="Times New Roman" w:hAnsi="Times New Roman"/>
                <w:b w:val="0"/>
                <w:i w:val="0"/>
                <w:color w:val="111111"/>
                <w:sz w:val="15"/>
              </w:rPr>
              <w:t>Assess usability, workflow, and safety</w:t>
            </w:r>
          </w:p>
        </w:tc>
        <w:tc>
          <w:tcPr>
            <w:tcW w:type="dxa" w:w="3213"/>
            <w:vAlign w:val="center"/>
          </w:tcPr>
          <w:p>
            <w:pPr>
              <w:spacing w:after="0"/>
            </w:pPr>
            <w:r>
              <w:rPr>
                <w:rFonts w:ascii="Times New Roman" w:hAnsi="Times New Roman"/>
                <w:b w:val="0"/>
                <w:i w:val="0"/>
                <w:color w:val="111111"/>
                <w:sz w:val="15"/>
              </w:rPr>
              <w:t>Resolved critical issues</w:t>
            </w:r>
          </w:p>
        </w:tc>
      </w:tr>
      <w:tr>
        <w:tc>
          <w:tcPr>
            <w:tcW w:type="dxa" w:w="3213"/>
            <w:vAlign w:val="center"/>
          </w:tcPr>
          <w:p>
            <w:pPr>
              <w:spacing w:after="0"/>
            </w:pPr>
            <w:r>
              <w:rPr>
                <w:rFonts w:ascii="Times New Roman" w:hAnsi="Times New Roman"/>
                <w:b w:val="0"/>
                <w:i w:val="0"/>
                <w:color w:val="111111"/>
                <w:sz w:val="15"/>
              </w:rPr>
              <w:t>Supervised operation</w:t>
            </w:r>
          </w:p>
        </w:tc>
        <w:tc>
          <w:tcPr>
            <w:tcW w:type="dxa" w:w="3213"/>
            <w:vAlign w:val="center"/>
          </w:tcPr>
          <w:p>
            <w:pPr>
              <w:spacing w:after="0"/>
            </w:pPr>
            <w:r>
              <w:rPr>
                <w:rFonts w:ascii="Times New Roman" w:hAnsi="Times New Roman"/>
                <w:b w:val="0"/>
                <w:i w:val="0"/>
                <w:color w:val="111111"/>
                <w:sz w:val="15"/>
              </w:rPr>
              <w:t>Monitor real-world errors and overrides</w:t>
            </w:r>
          </w:p>
        </w:tc>
        <w:tc>
          <w:tcPr>
            <w:tcW w:type="dxa" w:w="3213"/>
            <w:vAlign w:val="center"/>
          </w:tcPr>
          <w:p>
            <w:pPr>
              <w:spacing w:after="0"/>
            </w:pPr>
            <w:r>
              <w:rPr>
                <w:rFonts w:ascii="Times New Roman" w:hAnsi="Times New Roman"/>
                <w:b w:val="0"/>
                <w:i w:val="0"/>
                <w:color w:val="111111"/>
                <w:sz w:val="15"/>
              </w:rPr>
              <w:t>Stable performance within boundary</w:t>
            </w:r>
          </w:p>
        </w:tc>
      </w:tr>
      <w:tr>
        <w:tc>
          <w:tcPr>
            <w:tcW w:type="dxa" w:w="3213"/>
            <w:vAlign w:val="center"/>
          </w:tcPr>
          <w:p>
            <w:pPr>
              <w:spacing w:after="0"/>
            </w:pPr>
            <w:r>
              <w:rPr>
                <w:rFonts w:ascii="Times New Roman" w:hAnsi="Times New Roman"/>
                <w:b w:val="0"/>
                <w:i w:val="0"/>
                <w:color w:val="111111"/>
                <w:sz w:val="15"/>
              </w:rPr>
              <w:t>Scaled use</w:t>
            </w:r>
          </w:p>
        </w:tc>
        <w:tc>
          <w:tcPr>
            <w:tcW w:type="dxa" w:w="3213"/>
            <w:vAlign w:val="center"/>
          </w:tcPr>
          <w:p>
            <w:pPr>
              <w:spacing w:after="0"/>
            </w:pPr>
            <w:r>
              <w:rPr>
                <w:rFonts w:ascii="Times New Roman" w:hAnsi="Times New Roman"/>
                <w:b w:val="0"/>
                <w:i w:val="0"/>
                <w:color w:val="111111"/>
                <w:sz w:val="15"/>
              </w:rPr>
              <w:t>Expand only with maintenance capacity</w:t>
            </w:r>
          </w:p>
        </w:tc>
        <w:tc>
          <w:tcPr>
            <w:tcW w:type="dxa" w:w="3213"/>
            <w:vAlign w:val="center"/>
          </w:tcPr>
          <w:p>
            <w:pPr>
              <w:spacing w:after="0"/>
            </w:pPr>
            <w:r>
              <w:rPr>
                <w:rFonts w:ascii="Times New Roman" w:hAnsi="Times New Roman"/>
                <w:b w:val="0"/>
                <w:i w:val="0"/>
                <w:color w:val="111111"/>
                <w:sz w:val="15"/>
              </w:rPr>
              <w:t>Approved monitoring and incident plan</w:t>
            </w:r>
          </w:p>
        </w:tc>
      </w:tr>
    </w:tbl>
    <w:p>
      <w:pPr>
        <w:pStyle w:val="JASTEH1"/>
      </w:pPr>
      <w:r>
        <w:t>9. DISCUSSION</w:t>
      </w:r>
    </w:p>
    <w:p>
      <w:pPr>
        <w:spacing w:line="259" w:lineRule="auto" w:after="80"/>
        <w:jc w:val="both"/>
      </w:pPr>
      <w:r>
        <w:rPr>
          <w:rFonts w:ascii="Times New Roman" w:hAnsi="Times New Roman"/>
          <w:b w:val="0"/>
          <w:i w:val="0"/>
          <w:color w:val="111111"/>
          <w:sz w:val="20"/>
        </w:rPr>
        <w:t>The synthesis supports a systems-engineering view of IoT-enabled remote pain monitoring for older adults with osteoarthritis. The contribution does not rest on one algorithm or device; it arises from linking evidence quality, processing, decision design, human interaction, and governance. This position avoids a common error in applied-technology studies: treating a successful technical demonstration as proof of safe and useful operation.</w:t>
      </w:r>
    </w:p>
    <w:p>
      <w:pPr>
        <w:spacing w:line="259" w:lineRule="auto" w:after="80"/>
        <w:jc w:val="both"/>
      </w:pPr>
      <w:r>
        <w:rPr>
          <w:rFonts w:ascii="Times New Roman" w:hAnsi="Times New Roman"/>
          <w:b w:val="0"/>
          <w:i w:val="0"/>
          <w:color w:val="111111"/>
          <w:sz w:val="20"/>
        </w:rPr>
        <w:t>Trade-offs are unavoidable. Increasing sensitivity can raise false alarms, stricter security can reduce accessibility, richer logging can increase privacy exposure, and additional explanations can increase cognitive load. These trade-offs should be stated as design decisions with measurable consequences. The preferred configuration depends on the context and cannot be selected from a single universal accuracy target.</w:t>
      </w:r>
    </w:p>
    <w:p>
      <w:pPr>
        <w:pStyle w:val="JASTEH2"/>
      </w:pPr>
      <w:r>
        <w:t>9.1 Research Agenda</w:t>
      </w:r>
    </w:p>
    <w:p>
      <w:pPr>
        <w:spacing w:line="259" w:lineRule="auto" w:after="80"/>
        <w:jc w:val="both"/>
      </w:pPr>
      <w:r>
        <w:rPr>
          <w:rFonts w:ascii="Times New Roman" w:hAnsi="Times New Roman"/>
          <w:b w:val="0"/>
          <w:i w:val="0"/>
          <w:color w:val="111111"/>
          <w:sz w:val="20"/>
        </w:rPr>
        <w:t>Future studies should construct representative test sets, publish a preregistered evaluation protocol where feasible, compare meaningful baselines, and report negative as well as positive results. Multi-site or multi-device validation is particularly important when system performance depends on local language, infrastructure, workflow, or user characteristics.</w:t>
      </w:r>
    </w:p>
    <w:p>
      <w:pPr>
        <w:pStyle w:val="JASTEH1"/>
      </w:pPr>
      <w:r>
        <w:t>10. LIMITATIONS AND FUTURE WORK</w:t>
      </w:r>
    </w:p>
    <w:p>
      <w:pPr>
        <w:spacing w:line="259" w:lineRule="auto" w:after="80"/>
        <w:jc w:val="both"/>
      </w:pPr>
      <w:r>
        <w:rPr>
          <w:rFonts w:ascii="Times New Roman" w:hAnsi="Times New Roman"/>
          <w:b w:val="0"/>
          <w:i w:val="0"/>
          <w:color w:val="111111"/>
          <w:sz w:val="20"/>
        </w:rPr>
        <w:t>This review is narrative and design-oriented. It does not claim exhaustive retrieval, formal meta-analysis, or a completed risk certification. The heterogeneity of technical tasks and evaluation settings limits direct comparison across sources. Some implementation requirements are therefore conservative design recommendations that must be tested empirically.</w:t>
      </w:r>
    </w:p>
    <w:p>
      <w:pPr>
        <w:spacing w:line="259" w:lineRule="auto" w:after="80"/>
        <w:jc w:val="both"/>
      </w:pPr>
      <w:r>
        <w:rPr>
          <w:rFonts w:ascii="Times New Roman" w:hAnsi="Times New Roman"/>
          <w:b w:val="0"/>
          <w:i w:val="0"/>
          <w:color w:val="111111"/>
          <w:sz w:val="20"/>
        </w:rPr>
        <w:t>The proposed architecture intentionally remains technology-neutral at interfaces where products and standards can change. This improves transferability but leaves choices such as device model, software stack, database, algorithm family, and hosting arrangement to the implementation team. Those choices can materially affect cost, privacy, latency, maintainability, and performance.</w:t>
      </w:r>
    </w:p>
    <w:p>
      <w:pPr>
        <w:spacing w:line="259" w:lineRule="auto" w:after="80"/>
        <w:jc w:val="both"/>
      </w:pPr>
      <w:r>
        <w:rPr>
          <w:rFonts w:ascii="Times New Roman" w:hAnsi="Times New Roman"/>
          <w:b w:val="0"/>
          <w:i w:val="0"/>
          <w:color w:val="111111"/>
          <w:sz w:val="20"/>
        </w:rPr>
        <w:t>The most urgent next step is a transparent prototype of a person-centred IoT monitoring architecture that supports rather than replaces clinical judgement followed by controlled testing and a supervised field pilot. Evaluation must include the failure modes described in the risk register, not only routine successful cases. Independent replication and external review would strengthen confidence before broader deployment.</w:t>
      </w:r>
    </w:p>
    <w:p>
      <w:pPr>
        <w:spacing w:line="259" w:lineRule="auto" w:after="80"/>
        <w:jc w:val="both"/>
      </w:pPr>
      <w:r>
        <w:rPr>
          <w:rFonts w:ascii="Times New Roman" w:hAnsi="Times New Roman"/>
          <w:b w:val="0"/>
          <w:i w:val="0"/>
          <w:color w:val="111111"/>
          <w:sz w:val="20"/>
        </w:rPr>
        <w:t>Further work should also examine economic feasibility, organisational readiness, training burden, and long-term maintenance. A technically valid prototype may still fail when support resources, governance authority, or integration with existing workflows are inadequate. Implementation research should therefore accompany technical evaluation.</w:t>
      </w:r>
    </w:p>
    <w:p>
      <w:pPr>
        <w:spacing w:before="100" w:after="60"/>
        <w:jc w:val="center"/>
      </w:pPr>
      <w:r>
        <w:rPr>
          <w:rFonts w:ascii="Times New Roman" w:hAnsi="Times New Roman"/>
          <w:b/>
          <w:i w:val="0"/>
          <w:color w:val="111111"/>
          <w:sz w:val="18"/>
        </w:rPr>
        <w:t>Table 8. Priority Research Agenda</w:t>
      </w:r>
    </w:p>
    <w:tbl>
      <w:tblPr>
        <w:tblW w:type="auto" w:w="0"/>
        <w:jc w:val="center"/>
        <w:tblLayout w:type="fixed"/>
        <w:tblLook w:firstColumn="1" w:firstRow="1" w:lastColumn="0" w:lastRow="0" w:noHBand="0" w:noVBand="1" w:val="04A0"/>
        <w:tblBorders>
          <w:top w:val="single" w:sz="4" w:color="AFC3E0"/>
          <w:left w:val="single" w:sz="4" w:color="AFC3E0"/>
          <w:bottom w:val="single" w:sz="4" w:color="AFC3E0"/>
          <w:right w:val="single" w:sz="4" w:color="AFC3E0"/>
          <w:insideH w:val="single" w:sz="4" w:color="AFC3E0"/>
          <w:insideV w:val="single" w:sz="4" w:color="AFC3E0"/>
        </w:tblBorders>
      </w:tblPr>
      <w:tblGrid>
        <w:gridCol w:w="3213"/>
        <w:gridCol w:w="3213"/>
        <w:gridCol w:w="3213"/>
      </w:tblGrid>
      <w:tr>
        <w:tc>
          <w:tcPr>
            <w:tcW w:type="dxa" w:w="3213"/>
            <w:shd w:fill="2F66B3"/>
          </w:tcPr>
          <w:p>
            <w:pPr>
              <w:jc w:val="center"/>
            </w:pPr>
            <w:r>
              <w:rPr>
                <w:rFonts w:ascii="Times New Roman" w:hAnsi="Times New Roman"/>
                <w:b/>
                <w:i w:val="0"/>
                <w:color w:val="FFFFFF"/>
                <w:sz w:val="15"/>
              </w:rPr>
              <w:t>Priority</w:t>
            </w:r>
          </w:p>
        </w:tc>
        <w:tc>
          <w:tcPr>
            <w:tcW w:type="dxa" w:w="3213"/>
            <w:shd w:fill="2F66B3"/>
          </w:tcPr>
          <w:p>
            <w:pPr>
              <w:jc w:val="center"/>
            </w:pPr>
            <w:r>
              <w:rPr>
                <w:rFonts w:ascii="Times New Roman" w:hAnsi="Times New Roman"/>
                <w:b/>
                <w:i w:val="0"/>
                <w:color w:val="FFFFFF"/>
                <w:sz w:val="15"/>
              </w:rPr>
              <w:t>Study design</w:t>
            </w:r>
          </w:p>
        </w:tc>
        <w:tc>
          <w:tcPr>
            <w:tcW w:type="dxa" w:w="3213"/>
            <w:shd w:fill="2F66B3"/>
          </w:tcPr>
          <w:p>
            <w:pPr>
              <w:jc w:val="center"/>
            </w:pPr>
            <w:r>
              <w:rPr>
                <w:rFonts w:ascii="Times New Roman" w:hAnsi="Times New Roman"/>
                <w:b/>
                <w:i w:val="0"/>
                <w:color w:val="FFFFFF"/>
                <w:sz w:val="15"/>
              </w:rPr>
              <w:t>Expected evidence</w:t>
            </w:r>
          </w:p>
        </w:tc>
      </w:tr>
      <w:tr>
        <w:tc>
          <w:tcPr>
            <w:tcW w:type="dxa" w:w="3213"/>
            <w:vAlign w:val="center"/>
          </w:tcPr>
          <w:p>
            <w:pPr>
              <w:spacing w:after="0"/>
            </w:pPr>
            <w:r>
              <w:rPr>
                <w:rFonts w:ascii="Times New Roman" w:hAnsi="Times New Roman"/>
                <w:b w:val="0"/>
                <w:i w:val="0"/>
                <w:color w:val="111111"/>
                <w:sz w:val="15"/>
              </w:rPr>
              <w:t>Component validity</w:t>
            </w:r>
          </w:p>
        </w:tc>
        <w:tc>
          <w:tcPr>
            <w:tcW w:type="dxa" w:w="3213"/>
            <w:vAlign w:val="center"/>
          </w:tcPr>
          <w:p>
            <w:pPr>
              <w:spacing w:after="0"/>
            </w:pPr>
            <w:r>
              <w:rPr>
                <w:rFonts w:ascii="Times New Roman" w:hAnsi="Times New Roman"/>
                <w:b w:val="0"/>
                <w:i w:val="0"/>
                <w:color w:val="111111"/>
                <w:sz w:val="15"/>
              </w:rPr>
              <w:t>Controlled benchmark study</w:t>
            </w:r>
          </w:p>
        </w:tc>
        <w:tc>
          <w:tcPr>
            <w:tcW w:type="dxa" w:w="3213"/>
            <w:vAlign w:val="center"/>
          </w:tcPr>
          <w:p>
            <w:pPr>
              <w:spacing w:after="0"/>
            </w:pPr>
            <w:r>
              <w:rPr>
                <w:rFonts w:ascii="Times New Roman" w:hAnsi="Times New Roman"/>
                <w:b w:val="0"/>
                <w:i w:val="0"/>
                <w:color w:val="111111"/>
                <w:sz w:val="15"/>
              </w:rPr>
              <w:t>Accuracy, calibration, failure modes</w:t>
            </w:r>
          </w:p>
        </w:tc>
      </w:tr>
      <w:tr>
        <w:tc>
          <w:tcPr>
            <w:tcW w:type="dxa" w:w="3213"/>
            <w:vAlign w:val="center"/>
          </w:tcPr>
          <w:p>
            <w:pPr>
              <w:spacing w:after="0"/>
            </w:pPr>
            <w:r>
              <w:rPr>
                <w:rFonts w:ascii="Times New Roman" w:hAnsi="Times New Roman"/>
                <w:b w:val="0"/>
                <w:i w:val="0"/>
                <w:color w:val="111111"/>
                <w:sz w:val="15"/>
              </w:rPr>
              <w:t>Integrated usability</w:t>
            </w:r>
          </w:p>
        </w:tc>
        <w:tc>
          <w:tcPr>
            <w:tcW w:type="dxa" w:w="3213"/>
            <w:vAlign w:val="center"/>
          </w:tcPr>
          <w:p>
            <w:pPr>
              <w:spacing w:after="0"/>
            </w:pPr>
            <w:r>
              <w:rPr>
                <w:rFonts w:ascii="Times New Roman" w:hAnsi="Times New Roman"/>
                <w:b w:val="0"/>
                <w:i w:val="0"/>
                <w:color w:val="111111"/>
                <w:sz w:val="15"/>
              </w:rPr>
              <w:t>Scenario-based user study</w:t>
            </w:r>
          </w:p>
        </w:tc>
        <w:tc>
          <w:tcPr>
            <w:tcW w:type="dxa" w:w="3213"/>
            <w:vAlign w:val="center"/>
          </w:tcPr>
          <w:p>
            <w:pPr>
              <w:spacing w:after="0"/>
            </w:pPr>
            <w:r>
              <w:rPr>
                <w:rFonts w:ascii="Times New Roman" w:hAnsi="Times New Roman"/>
                <w:b w:val="0"/>
                <w:i w:val="0"/>
                <w:color w:val="111111"/>
                <w:sz w:val="15"/>
              </w:rPr>
              <w:t>Task outcomes and interpretation</w:t>
            </w:r>
          </w:p>
        </w:tc>
      </w:tr>
      <w:tr>
        <w:tc>
          <w:tcPr>
            <w:tcW w:type="dxa" w:w="3213"/>
            <w:vAlign w:val="center"/>
          </w:tcPr>
          <w:p>
            <w:pPr>
              <w:spacing w:after="0"/>
            </w:pPr>
            <w:r>
              <w:rPr>
                <w:rFonts w:ascii="Times New Roman" w:hAnsi="Times New Roman"/>
                <w:b w:val="0"/>
                <w:i w:val="0"/>
                <w:color w:val="111111"/>
                <w:sz w:val="15"/>
              </w:rPr>
              <w:t>Field feasibility</w:t>
            </w:r>
          </w:p>
        </w:tc>
        <w:tc>
          <w:tcPr>
            <w:tcW w:type="dxa" w:w="3213"/>
            <w:vAlign w:val="center"/>
          </w:tcPr>
          <w:p>
            <w:pPr>
              <w:spacing w:after="0"/>
            </w:pPr>
            <w:r>
              <w:rPr>
                <w:rFonts w:ascii="Times New Roman" w:hAnsi="Times New Roman"/>
                <w:b w:val="0"/>
                <w:i w:val="0"/>
                <w:color w:val="111111"/>
                <w:sz w:val="15"/>
              </w:rPr>
              <w:t>Supervised prospective pilot</w:t>
            </w:r>
          </w:p>
        </w:tc>
        <w:tc>
          <w:tcPr>
            <w:tcW w:type="dxa" w:w="3213"/>
            <w:vAlign w:val="center"/>
          </w:tcPr>
          <w:p>
            <w:pPr>
              <w:spacing w:after="0"/>
            </w:pPr>
            <w:r>
              <w:rPr>
                <w:rFonts w:ascii="Times New Roman" w:hAnsi="Times New Roman"/>
                <w:b w:val="0"/>
                <w:i w:val="0"/>
                <w:color w:val="111111"/>
                <w:sz w:val="15"/>
              </w:rPr>
              <w:t>Workflow, safety, maintenance</w:t>
            </w:r>
          </w:p>
        </w:tc>
      </w:tr>
      <w:tr>
        <w:tc>
          <w:tcPr>
            <w:tcW w:type="dxa" w:w="3213"/>
            <w:vAlign w:val="center"/>
          </w:tcPr>
          <w:p>
            <w:pPr>
              <w:spacing w:after="0"/>
            </w:pPr>
            <w:r>
              <w:rPr>
                <w:rFonts w:ascii="Times New Roman" w:hAnsi="Times New Roman"/>
                <w:b w:val="0"/>
                <w:i w:val="0"/>
                <w:color w:val="111111"/>
                <w:sz w:val="15"/>
              </w:rPr>
              <w:t>Transferability</w:t>
            </w:r>
          </w:p>
        </w:tc>
        <w:tc>
          <w:tcPr>
            <w:tcW w:type="dxa" w:w="3213"/>
            <w:vAlign w:val="center"/>
          </w:tcPr>
          <w:p>
            <w:pPr>
              <w:spacing w:after="0"/>
            </w:pPr>
            <w:r>
              <w:rPr>
                <w:rFonts w:ascii="Times New Roman" w:hAnsi="Times New Roman"/>
                <w:b w:val="0"/>
                <w:i w:val="0"/>
                <w:color w:val="111111"/>
                <w:sz w:val="15"/>
              </w:rPr>
              <w:t>Multi-site or multi-device replication</w:t>
            </w:r>
          </w:p>
        </w:tc>
        <w:tc>
          <w:tcPr>
            <w:tcW w:type="dxa" w:w="3213"/>
            <w:vAlign w:val="center"/>
          </w:tcPr>
          <w:p>
            <w:pPr>
              <w:spacing w:after="0"/>
            </w:pPr>
            <w:r>
              <w:rPr>
                <w:rFonts w:ascii="Times New Roman" w:hAnsi="Times New Roman"/>
                <w:b w:val="0"/>
                <w:i w:val="0"/>
                <w:color w:val="111111"/>
                <w:sz w:val="15"/>
              </w:rPr>
              <w:t>Boundary conditions and generalisability</w:t>
            </w:r>
          </w:p>
        </w:tc>
      </w:tr>
    </w:tbl>
    <w:p>
      <w:pPr>
        <w:pStyle w:val="JASTEH1"/>
      </w:pPr>
      <w:r>
        <w:t>11. CONCLUSION</w:t>
      </w:r>
    </w:p>
    <w:p>
      <w:pPr>
        <w:spacing w:line="259" w:lineRule="auto" w:after="80"/>
        <w:jc w:val="both"/>
      </w:pPr>
      <w:r>
        <w:rPr>
          <w:rFonts w:ascii="Times New Roman" w:hAnsi="Times New Roman"/>
          <w:b w:val="0"/>
          <w:i w:val="0"/>
          <w:color w:val="111111"/>
          <w:sz w:val="20"/>
        </w:rPr>
        <w:t>An IoT-based osteoarthritis pain-monitoring system requires accessible self-report, contextual sensing, secure communication, data-quality controls, transparent alerts, and professional oversight. The proposed requirements provide measurable engineering criteria for prototype development and evaluation without overstating the diagnostic meaning of wearable data.</w:t>
      </w:r>
    </w:p>
    <w:p>
      <w:pPr>
        <w:spacing w:line="259" w:lineRule="auto" w:after="80"/>
        <w:jc w:val="both"/>
      </w:pPr>
      <w:r>
        <w:rPr>
          <w:rFonts w:ascii="Times New Roman" w:hAnsi="Times New Roman"/>
          <w:b w:val="0"/>
          <w:i w:val="0"/>
          <w:color w:val="111111"/>
          <w:sz w:val="20"/>
        </w:rPr>
        <w:t>In summary, responsible progress in IoT-enabled remote pain monitoring for older adults with osteoarthritis requires a traceable relationship between evidence, processing, decisions, users, and governance. The proposed framework supplies that relationship and defines a practical agenda for prototype validation without presenting untested performance as an established result.</w:t>
      </w:r>
    </w:p>
    <w:p>
      <w:pPr>
        <w:spacing w:line="259" w:lineRule="auto" w:after="80"/>
        <w:jc w:val="both"/>
      </w:pPr>
      <w:r>
        <w:rPr>
          <w:rFonts w:ascii="Times New Roman" w:hAnsi="Times New Roman"/>
          <w:b w:val="0"/>
          <w:i w:val="0"/>
          <w:color w:val="111111"/>
          <w:sz w:val="20"/>
        </w:rPr>
        <w:t>The practical contribution of this framework is a common language for researchers, developers, and decision makers working on IoT-enabled remote pain monitoring for older adults with osteoarthritis. It connects a technical feature to its evidentiary purpose, validation requirement, risk, and accountable user. This connection helps prevent isolated optimisation, in which one metric improves while the surrounding workflow becomes harder to interpret, maintain, or govern.</w:t>
      </w:r>
    </w:p>
    <w:p>
      <w:pPr>
        <w:spacing w:line="259" w:lineRule="auto" w:after="80"/>
        <w:jc w:val="both"/>
      </w:pPr>
      <w:r>
        <w:rPr>
          <w:rFonts w:ascii="Times New Roman" w:hAnsi="Times New Roman"/>
          <w:b w:val="0"/>
          <w:i w:val="0"/>
          <w:color w:val="111111"/>
          <w:sz w:val="20"/>
        </w:rPr>
        <w:t>For publication, future empirical versions should replace proposed procedures with exact observed methods and results. Dataset characteristics, inclusion decisions, preprocessing, software versions, statistical analysis, and deviations from the protocol should be reported transparently. Tables and figures should present reproducible evidence rather than illustrative numbers. This distinction is essential because a conceptual engineering article can guide design, but only empirical evaluation can support claims about measured effectiveness.</w:t>
      </w:r>
    </w:p>
    <w:p>
      <w:pPr>
        <w:spacing w:line="259" w:lineRule="auto" w:after="80"/>
        <w:jc w:val="both"/>
      </w:pPr>
      <w:r>
        <w:rPr>
          <w:rFonts w:ascii="Times New Roman" w:hAnsi="Times New Roman"/>
          <w:b w:val="0"/>
          <w:i w:val="0"/>
          <w:color w:val="111111"/>
          <w:sz w:val="20"/>
        </w:rPr>
        <w:t>For implementation, the recommended priority is not immediate automation but reliable assistance. The system should make evidence easier to organise, inspect, and communicate while preserving human authority for consequential interpretation. Automation can be expanded only after monitoring demonstrates stable behaviour, reviewers understand limitations, and governance mechanisms respond effectively to errors and complaints.</w:t>
      </w:r>
    </w:p>
    <w:p>
      <w:pPr>
        <w:spacing w:line="259" w:lineRule="auto" w:after="80"/>
        <w:jc w:val="both"/>
      </w:pPr>
      <w:r>
        <w:rPr>
          <w:rFonts w:ascii="Times New Roman" w:hAnsi="Times New Roman"/>
          <w:b w:val="0"/>
          <w:i w:val="0"/>
          <w:color w:val="111111"/>
          <w:sz w:val="20"/>
        </w:rPr>
        <w:t>The framework also supports cumulative research. Because inputs, components, interfaces, metrics, and operating boundaries are specified separately, later studies can test individual assumptions and compare alternatives without rebuilding the entire conceptual model. Replication can then identify which findings are stable, which depend on context, and which controls are necessary for transfer to a new population or institution.</w:t>
      </w:r>
    </w:p>
    <w:p>
      <w:pPr>
        <w:spacing w:line="259" w:lineRule="auto" w:after="80"/>
        <w:jc w:val="both"/>
      </w:pPr>
      <w:r>
        <w:rPr>
          <w:rFonts w:ascii="Times New Roman" w:hAnsi="Times New Roman"/>
          <w:b w:val="0"/>
          <w:i w:val="0"/>
          <w:color w:val="111111"/>
          <w:sz w:val="20"/>
        </w:rPr>
        <w:t>Accordingly, readiness should be treated as an evidence threshold rather than as a project deadline. A system is ready only when the required technical tests, human-centred evaluation, risk controls, documentation, training, and maintenance ownership have been demonstrated together. Where evidence remains incomplete, the appropriate conclusion is a narrower operating boundary or further study—not an unsupported claim of general applicability.</w:t>
      </w:r>
    </w:p>
    <w:p>
      <w:pPr>
        <w:pStyle w:val="JASTEH1"/>
      </w:pPr>
      <w:r>
        <w:t>AUTHOR CONTRIBUTIONS</w:t>
      </w:r>
    </w:p>
    <w:p>
      <w:pPr>
        <w:spacing w:line="259" w:lineRule="auto" w:after="40"/>
        <w:jc w:val="both"/>
      </w:pPr>
      <w:r>
        <w:rPr>
          <w:rFonts w:ascii="Times New Roman" w:hAnsi="Times New Roman"/>
          <w:b w:val="0"/>
          <w:i w:val="0"/>
          <w:color w:val="111111"/>
          <w:sz w:val="20"/>
        </w:rPr>
        <w:t>The listed author(s) contributed to conceptualisation, literature synthesis, framework development, writing, review, and approval of the manuscript. Every author must verify this statement before publication.</w:t>
      </w:r>
    </w:p>
    <w:p>
      <w:pPr>
        <w:pStyle w:val="JASTEH1"/>
      </w:pPr>
      <w:r>
        <w:t>FUNDING</w:t>
      </w:r>
    </w:p>
    <w:p>
      <w:pPr>
        <w:spacing w:line="259" w:lineRule="auto" w:after="40"/>
        <w:jc w:val="both"/>
      </w:pPr>
      <w:r>
        <w:rPr>
          <w:rFonts w:ascii="Times New Roman" w:hAnsi="Times New Roman"/>
          <w:b w:val="0"/>
          <w:i w:val="0"/>
          <w:color w:val="111111"/>
          <w:sz w:val="20"/>
        </w:rPr>
        <w:t>This article received no external funding. The authors must replace this statement if funding applies.</w:t>
      </w:r>
    </w:p>
    <w:p>
      <w:pPr>
        <w:pStyle w:val="JASTEH1"/>
      </w:pPr>
      <w:r>
        <w:t>CONFLICTS OF INTEREST</w:t>
      </w:r>
    </w:p>
    <w:p>
      <w:pPr>
        <w:spacing w:line="259" w:lineRule="auto" w:after="40"/>
        <w:jc w:val="both"/>
      </w:pPr>
      <w:r>
        <w:rPr>
          <w:rFonts w:ascii="Times New Roman" w:hAnsi="Times New Roman"/>
          <w:b w:val="0"/>
          <w:i w:val="0"/>
          <w:color w:val="111111"/>
          <w:sz w:val="20"/>
        </w:rPr>
        <w:t>The author(s) declare no conflict of interest. Every author must verify this statement before publication.</w:t>
      </w:r>
    </w:p>
    <w:p>
      <w:pPr>
        <w:pStyle w:val="JASTEH1"/>
      </w:pPr>
      <w:r>
        <w:t>DATA AVAILABILITY STATEMENT</w:t>
      </w:r>
    </w:p>
    <w:p>
      <w:pPr>
        <w:spacing w:line="259" w:lineRule="auto" w:after="40"/>
        <w:jc w:val="both"/>
      </w:pPr>
      <w:r>
        <w:rPr>
          <w:rFonts w:ascii="Times New Roman" w:hAnsi="Times New Roman"/>
          <w:b w:val="0"/>
          <w:i w:val="0"/>
          <w:color w:val="111111"/>
          <w:sz w:val="20"/>
        </w:rPr>
        <w:t>No original dataset was generated because this article presents a conceptual technical review and design framework.</w:t>
      </w:r>
    </w:p>
    <w:p>
      <w:pPr>
        <w:pStyle w:val="JASTEH1"/>
      </w:pPr>
      <w:r>
        <w:t>REFERENCES</w:t>
      </w:r>
    </w:p>
    <w:p>
      <w:pPr>
        <w:spacing w:after="40" w:line="240" w:lineRule="auto"/>
        <w:ind w:left="340" w:hanging="340"/>
      </w:pPr>
      <w:r>
        <w:rPr>
          <w:rFonts w:ascii="Times New Roman" w:hAnsi="Times New Roman"/>
          <w:b w:val="0"/>
          <w:i w:val="0"/>
          <w:color w:val="111111"/>
          <w:sz w:val="16"/>
        </w:rPr>
        <w:t>Ahn, H., et al. (2020). Feasibility and efficacy of remotely supervised cranial electrical stimulation for pain in older adults with knee osteoarthritis. Journal of Clinical Neuroscience, 77, 128-133. https://doi.org/10.1016/j.jocn.2020.05.003</w:t>
      </w:r>
    </w:p>
    <w:p>
      <w:pPr>
        <w:spacing w:after="40" w:line="240" w:lineRule="auto"/>
        <w:ind w:left="340" w:hanging="340"/>
      </w:pPr>
      <w:r>
        <w:rPr>
          <w:rFonts w:ascii="Times New Roman" w:hAnsi="Times New Roman"/>
          <w:b w:val="0"/>
          <w:i w:val="0"/>
          <w:color w:val="111111"/>
          <w:sz w:val="16"/>
        </w:rPr>
        <w:t>GBD 2021 Osteoarthritis Collaborators. (2023). Global, regional, and national burden of osteoarthritis, 1990-2020, and projections to 2050: A systematic analysis for the Global Burden of Disease Study 2021. The Lancet Rheumatology. https://doi.org/10.1016/S2665-9913(23)00163-7</w:t>
      </w:r>
    </w:p>
    <w:p>
      <w:pPr>
        <w:spacing w:after="40" w:line="240" w:lineRule="auto"/>
        <w:ind w:left="340" w:hanging="340"/>
      </w:pPr>
      <w:r>
        <w:rPr>
          <w:rFonts w:ascii="Times New Roman" w:hAnsi="Times New Roman"/>
          <w:b w:val="0"/>
          <w:i w:val="0"/>
          <w:color w:val="111111"/>
          <w:sz w:val="16"/>
        </w:rPr>
        <w:t>Hatzivasilis, G., Soultatos, O., Ioannidis, S., Verikoukis, C., Demetriou, G., &amp; Tsatsoulis, C. (2019). Review of security and privacy for the Internet of Medical Things (IoMT). In 2019 15th International Conference on Distributed Computing in Sensor Systems (DCOSS) (pp. 457-464). IEEE. https://doi.org/10.1109/DCOSS.2019.00091</w:t>
      </w:r>
    </w:p>
    <w:p>
      <w:pPr>
        <w:spacing w:after="40" w:line="240" w:lineRule="auto"/>
        <w:ind w:left="340" w:hanging="340"/>
      </w:pPr>
      <w:r>
        <w:rPr>
          <w:rFonts w:ascii="Times New Roman" w:hAnsi="Times New Roman"/>
          <w:b w:val="0"/>
          <w:i w:val="0"/>
          <w:color w:val="111111"/>
          <w:sz w:val="16"/>
        </w:rPr>
        <w:t>Health Level Seven International. (2023). FHIR overview (Release 5.0.0). https://hl7.org/fhir/overview.html</w:t>
      </w:r>
    </w:p>
    <w:p>
      <w:pPr>
        <w:spacing w:after="40" w:line="240" w:lineRule="auto"/>
        <w:ind w:left="340" w:hanging="340"/>
      </w:pPr>
      <w:r>
        <w:rPr>
          <w:rFonts w:ascii="Times New Roman" w:hAnsi="Times New Roman"/>
          <w:b w:val="0"/>
          <w:i w:val="0"/>
          <w:color w:val="111111"/>
          <w:sz w:val="16"/>
        </w:rPr>
        <w:t>Hepburn, J., Williams, L., &amp; McCann, L. (2025). Barriers to and facilitators of digital health technology adoption among older adults with chronic diseases: Updated systematic review. JMIR Aging, 8, e80000. https://doi.org/10.2196/80000</w:t>
      </w:r>
    </w:p>
    <w:p>
      <w:pPr>
        <w:spacing w:after="40" w:line="240" w:lineRule="auto"/>
        <w:ind w:left="340" w:hanging="340"/>
      </w:pPr>
      <w:r>
        <w:rPr>
          <w:rFonts w:ascii="Times New Roman" w:hAnsi="Times New Roman"/>
          <w:b w:val="0"/>
          <w:i w:val="0"/>
          <w:color w:val="111111"/>
          <w:sz w:val="16"/>
        </w:rPr>
        <w:t>International Organization for Standardization. (2018). Ergonomics of human-system interaction-Part 11: Usability: Definitions and concepts (ISO Standard No. 9241-11:2018). https://www.iso.org/standard/63500.html</w:t>
      </w:r>
    </w:p>
    <w:p>
      <w:pPr>
        <w:spacing w:after="40" w:line="240" w:lineRule="auto"/>
        <w:ind w:left="340" w:hanging="340"/>
      </w:pPr>
      <w:r>
        <w:rPr>
          <w:rFonts w:ascii="Times New Roman" w:hAnsi="Times New Roman"/>
          <w:b w:val="0"/>
          <w:i w:val="0"/>
          <w:color w:val="111111"/>
          <w:sz w:val="16"/>
        </w:rPr>
        <w:t>Islam, S. M. R., Kwak, D., Kabir, M. H., Hossain, M., &amp; Kwak, K. S. (2015). The Internet of Things for health care: A comprehensive survey. IEEE Access, 3, 678-708. https://doi.org/10.1109/ACCESS.2015.2437951</w:t>
      </w:r>
    </w:p>
    <w:p>
      <w:pPr>
        <w:spacing w:after="40" w:line="240" w:lineRule="auto"/>
        <w:ind w:left="340" w:hanging="340"/>
      </w:pPr>
      <w:r>
        <w:rPr>
          <w:rFonts w:ascii="Times New Roman" w:hAnsi="Times New Roman"/>
          <w:b w:val="0"/>
          <w:i w:val="0"/>
          <w:color w:val="111111"/>
          <w:sz w:val="16"/>
        </w:rPr>
        <w:t>Laborde, C. R., et al. (2021). Satisfaction, usability, and compliance with smartwatch ecological momentary assessment of knee osteoarthritis symptoms. JMIR Aging, 4(3), e24553. https://doi.org/10.2196/24553</w:t>
      </w:r>
    </w:p>
    <w:p>
      <w:pPr>
        <w:spacing w:after="40" w:line="240" w:lineRule="auto"/>
        <w:ind w:left="340" w:hanging="340"/>
      </w:pPr>
      <w:r>
        <w:rPr>
          <w:rFonts w:ascii="Times New Roman" w:hAnsi="Times New Roman"/>
          <w:b w:val="0"/>
          <w:i w:val="0"/>
          <w:color w:val="111111"/>
          <w:sz w:val="16"/>
        </w:rPr>
        <w:t>Mardini, M. T., et al. (2021). The temporal relationship between ecological pain and life-space mobility in older adults with knee osteoarthritis. JMIR mHealth and uHealth, 9(1), e19609. https://doi.org/10.2196/19609</w:t>
      </w:r>
    </w:p>
    <w:p>
      <w:pPr>
        <w:spacing w:after="40" w:line="240" w:lineRule="auto"/>
        <w:ind w:left="340" w:hanging="340"/>
      </w:pPr>
      <w:r>
        <w:rPr>
          <w:rFonts w:ascii="Times New Roman" w:hAnsi="Times New Roman"/>
          <w:b w:val="0"/>
          <w:i w:val="0"/>
          <w:color w:val="111111"/>
          <w:sz w:val="16"/>
        </w:rPr>
        <w:t>May, M., Junghaenel, D. U., Ono, M., Stone, A. A., &amp; Schneider, S. (2018). Ecological momentary assessment methodology in chronic pain research: A systematic review. Journal of Pain, 19(7), 699-716. https://doi.org/10.1016/j.jpain.2018.01.006</w:t>
      </w:r>
    </w:p>
    <w:p>
      <w:pPr>
        <w:spacing w:after="40" w:line="240" w:lineRule="auto"/>
        <w:ind w:left="340" w:hanging="340"/>
      </w:pPr>
      <w:r>
        <w:rPr>
          <w:rFonts w:ascii="Times New Roman" w:hAnsi="Times New Roman"/>
          <w:b w:val="0"/>
          <w:i w:val="0"/>
          <w:color w:val="111111"/>
          <w:sz w:val="16"/>
        </w:rPr>
        <w:t>National Institute of Standards and Technology. (2020). NIST privacy framework: A tool for improving privacy through enterprise risk management, version 1.0. U.S. Department of Commerce. https://doi.org/10.6028/NIST.CSWP.01162020</w:t>
      </w:r>
    </w:p>
    <w:p>
      <w:pPr>
        <w:spacing w:after="40" w:line="240" w:lineRule="auto"/>
        <w:ind w:left="340" w:hanging="340"/>
      </w:pPr>
      <w:r>
        <w:rPr>
          <w:rFonts w:ascii="Times New Roman" w:hAnsi="Times New Roman"/>
          <w:b w:val="0"/>
          <w:i w:val="0"/>
          <w:color w:val="111111"/>
          <w:sz w:val="16"/>
        </w:rPr>
        <w:t>Ono, M., Schneider, S., Junghaenel, D. U., &amp; Stone, A. A. (2019). What affects the completion of ecological momentary assessments in chronic pain research? An individual patient data meta-analysis. Journal of Medical Internet Research, 21(2), e11398. https://doi.org/10.2196/11398</w:t>
      </w:r>
    </w:p>
    <w:p>
      <w:pPr>
        <w:spacing w:after="40" w:line="240" w:lineRule="auto"/>
        <w:ind w:left="340" w:hanging="340"/>
      </w:pPr>
      <w:r>
        <w:rPr>
          <w:rFonts w:ascii="Times New Roman" w:hAnsi="Times New Roman"/>
          <w:b w:val="0"/>
          <w:i w:val="0"/>
          <w:color w:val="111111"/>
          <w:sz w:val="16"/>
        </w:rPr>
        <w:t>Ray, C. E., Wilson, G. M., Hughes, A. M., Cunningham Goedken, C., Liu, E. P.-F., Fitzpatrick, M. A., Suda, K. J., Kota, S. M., Nwankpa, C., &amp; Evans, C. T. (2026). Alert fatigue measurement in clinical decision support: A systematic review. Journal of the American Medical Informatics Association. https://doi.org/10.1093/jamia/ocag064</w:t>
      </w:r>
    </w:p>
    <w:p>
      <w:pPr>
        <w:spacing w:after="40" w:line="240" w:lineRule="auto"/>
        <w:ind w:left="340" w:hanging="340"/>
      </w:pPr>
      <w:r>
        <w:rPr>
          <w:rFonts w:ascii="Times New Roman" w:hAnsi="Times New Roman"/>
          <w:b w:val="0"/>
          <w:i w:val="0"/>
          <w:color w:val="111111"/>
          <w:sz w:val="16"/>
        </w:rPr>
        <w:t>Rose, M. J., Neogi, T., Friscia, B., Torabian, K. A., LaValley, M. P., Gheller, M., Adamowicz, L., Georgiev, P., Viktrup, L., Demanuele, C., Wacnik, P. W., &amp; Kumar, D. (2023). Reliability of wearable sensors for assessing gait and chair stand function at home in people with knee osteoarthritis. Arthritis Care &amp; Research, 75(9), 1939-1948. https://doi.org/10.1002/acr.25096</w:t>
      </w:r>
    </w:p>
    <w:p>
      <w:pPr>
        <w:spacing w:after="40" w:line="240" w:lineRule="auto"/>
        <w:ind w:left="340" w:hanging="340"/>
      </w:pPr>
      <w:r>
        <w:rPr>
          <w:rFonts w:ascii="Times New Roman" w:hAnsi="Times New Roman"/>
          <w:b w:val="0"/>
          <w:i w:val="0"/>
          <w:color w:val="111111"/>
          <w:sz w:val="16"/>
        </w:rPr>
        <w:t>Smedslund, G., Osteras, N., &amp; Hillestad Hestevik, C. (2025). Effects of remote patient monitoring on health care utilization in patients with noncommunicable diseases: Systematic review and meta-analysis. JMIR mHealth and uHealth, 13, e68464. https://doi.org/10.2196/68464</w:t>
      </w:r>
    </w:p>
    <w:p>
      <w:pPr>
        <w:spacing w:after="40" w:line="240" w:lineRule="auto"/>
        <w:ind w:left="340" w:hanging="340"/>
      </w:pPr>
      <w:r>
        <w:rPr>
          <w:rFonts w:ascii="Times New Roman" w:hAnsi="Times New Roman"/>
          <w:b w:val="0"/>
          <w:i w:val="0"/>
          <w:color w:val="111111"/>
          <w:sz w:val="16"/>
        </w:rPr>
        <w:t>Temoshok, D., Choong, Y.-Y., Regenscheid, A., Galluzzo, R., Fenton, J. L., Richer, J., &amp; Lefkovitz, N. (2025). Digital identity guidelines: Authentication and authenticator management (NIST Special Publication 800-63B-4). National Institute of Standards and Technology. https://doi.org/10.6028/NIST.SP.800-63B-4</w:t>
      </w:r>
    </w:p>
    <w:p>
      <w:pPr>
        <w:spacing w:after="40" w:line="240" w:lineRule="auto"/>
        <w:ind w:left="340" w:hanging="340"/>
      </w:pPr>
      <w:r>
        <w:rPr>
          <w:rFonts w:ascii="Times New Roman" w:hAnsi="Times New Roman"/>
          <w:b w:val="0"/>
          <w:i w:val="0"/>
          <w:color w:val="111111"/>
          <w:sz w:val="16"/>
        </w:rPr>
        <w:t>Wani, R. U. Z., Thabit, F., &amp; Can, O. (2024). Security and privacy challenges, issues, and enhancing techniques for Internet of Medical Things: A systematic review. Security and Privacy, 7(5), e409. https://doi.org/10.1002/spy2.409</w:t>
      </w:r>
    </w:p>
    <w:p>
      <w:pPr>
        <w:spacing w:after="40" w:line="240" w:lineRule="auto"/>
        <w:ind w:left="340" w:hanging="340"/>
      </w:pPr>
      <w:r>
        <w:rPr>
          <w:rFonts w:ascii="Times New Roman" w:hAnsi="Times New Roman"/>
          <w:b w:val="0"/>
          <w:i w:val="0"/>
          <w:color w:val="111111"/>
          <w:sz w:val="16"/>
        </w:rPr>
        <w:t>World Health Organization. (2021). Ethics and governance of artificial intelligence for health. World Health Organization.</w:t>
      </w:r>
    </w:p>
    <w:p>
      <w:pPr>
        <w:spacing w:after="40" w:line="240" w:lineRule="auto"/>
        <w:ind w:left="340" w:hanging="340"/>
      </w:pPr>
      <w:r>
        <w:rPr>
          <w:rFonts w:ascii="Times New Roman" w:hAnsi="Times New Roman"/>
          <w:b w:val="0"/>
          <w:i w:val="0"/>
          <w:color w:val="111111"/>
          <w:sz w:val="16"/>
        </w:rPr>
        <w:t>World Wide Web Consortium. (2023). Web Content Accessibility Guidelines (WCAG) 2.2. https://www.w3.org/TR/WCAG22/</w:t>
      </w:r>
    </w:p>
    <w:p>
      <w:pPr>
        <w:spacing w:after="40" w:line="240" w:lineRule="auto"/>
        <w:ind w:left="340" w:hanging="340"/>
      </w:pPr>
      <w:r>
        <w:rPr>
          <w:rFonts w:ascii="Times New Roman" w:hAnsi="Times New Roman"/>
          <w:b w:val="0"/>
          <w:i w:val="0"/>
          <w:color w:val="111111"/>
          <w:sz w:val="16"/>
        </w:rPr>
        <w:t>Zakoscielna, K. M., &amp; Parmelee, P. A. (2013). Pain variability and its predictors in older adults: Depression, cognition, functional status, health, and pain. Journal of Aging and Health, 25(8), 1329-1339. https://doi.org/10.1177/0898264313504457</w:t>
      </w:r>
    </w:p>
    <w:p>
      <w:pPr>
        <w:jc w:val="center"/>
      </w:pPr>
      <w:r>
        <w:rPr>
          <w:rFonts w:ascii="Times New Roman" w:hAnsi="Times New Roman"/>
          <w:b/>
          <w:i w:val="0"/>
          <w:color w:val="2F66B3"/>
          <w:sz w:val="16"/>
        </w:rPr>
        <w:t>© 2026 The Author(s) | Open Access</w:t>
      </w:r>
    </w:p>
    <w:sectPr w:rsidR="00FC693F" w:rsidRPr="0006063C" w:rsidSect="00034616">
      <w:headerReference w:type="default" r:id="rId9"/>
      <w:footerReference w:type="default" r:id="rId10"/>
      <w:pgSz w:w="11906" w:h="16838"/>
      <w:pgMar w:top="907" w:right="1134" w:bottom="907" w:left="113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b w:val="0"/>
        <w:i w:val="0"/>
        <w:color w:val="666666"/>
        <w:sz w:val="16"/>
      </w:rPr>
      <w:t xml:space="preserve">https://jurnal.aretelitera.com/JASTE/   |   </w:t>
    </w:r>
    <w:r>
      <w:rPr>
        <w:rFonts w:ascii="Times New Roman" w:hAnsi="Times New Roman"/>
        <w:b w:val="0"/>
        <w:i w:val="0"/>
        <w:color w:val="666666"/>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8" w:color="2F66B3"/>
      </w:pBdr>
    </w:pPr>
    <w:r>
      <w:rPr>
        <w:rFonts w:ascii="Times New Roman" w:hAnsi="Times New Roman"/>
        <w:b/>
        <w:i w:val="0"/>
        <w:color w:val="2F66B3"/>
        <w:sz w:val="18"/>
      </w:rPr>
      <w:t>JASTE</w:t>
    </w:r>
    <w:r>
      <w:rPr>
        <w:rFonts w:ascii="Times New Roman" w:hAnsi="Times New Roman"/>
        <w:b w:val="0"/>
        <w:i w:val="0"/>
        <w:color w:val="666666"/>
        <w:sz w:val="16"/>
      </w:rPr>
      <w:t xml:space="preserve">  |  Journal of Applied Science and Technology in Engineering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pPr>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ASTEH1">
    <w:name w:val="JASTE H1"/>
    <w:pPr>
      <w:keepNext/>
      <w:spacing w:before="140" w:after="60"/>
    </w:pPr>
    <w:rPr>
      <w:rFonts w:ascii="Times New Roman" w:hAnsi="Times New Roman"/>
      <w:b/>
      <w:color w:val="2F66B3"/>
      <w:sz w:val="20"/>
    </w:rPr>
  </w:style>
  <w:style w:type="paragraph" w:customStyle="1" w:styleId="JASTEH2">
    <w:name w:val="JASTE H2"/>
    <w:pPr>
      <w:keepNext/>
      <w:spacing w:before="140" w:after="60"/>
    </w:pPr>
    <w:rPr>
      <w:rFonts w:ascii="Times New Roman" w:hAnsi="Times New Roman"/>
      <w:b/>
      <w:color w:val="111111"/>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Requirements for an IoT-Based Remote Pain Monitoring System for Older Adults with Osteoarthritis</dc:title>
  <dc:subject>JASTE initial article, expanded version</dc:subject>
  <dc:creator>Taufik Suroto¹</dc:creator>
  <cp:keywords/>
  <dc:description>generated by python-docx</dc:description>
  <cp:lastModifiedBy/>
  <cp:revision>1</cp:revision>
  <dcterms:created xsi:type="dcterms:W3CDTF">2013-12-23T23:15:00Z</dcterms:created>
  <dcterms:modified xsi:type="dcterms:W3CDTF">2013-12-23T23:15:00Z</dcterms:modified>
  <cp:category/>
</cp:coreProperties>
</file>