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4762"/>
        <w:gridCol w:w="4762"/>
      </w:tblGrid>
      <w:tr w:rsidR="00E31D22" w14:paraId="42B2D9FD" w14:textId="77777777">
        <w:trPr>
          <w:jc w:val="center"/>
        </w:trPr>
        <w:tc>
          <w:tcPr>
            <w:tcW w:w="4762" w:type="dxa"/>
            <w:shd w:val="clear" w:color="auto" w:fill="EAF1FB"/>
          </w:tcPr>
          <w:p w14:paraId="1553542D" w14:textId="77777777" w:rsidR="00E31D22" w:rsidRDefault="00066F89">
            <w:r>
              <w:rPr>
                <w:b/>
                <w:color w:val="3F6FB5"/>
                <w:sz w:val="24"/>
              </w:rPr>
              <w:t>JOURNAL OF APPLIED SCIENCE AND TECHNOLOGY IN ENGINEERING</w:t>
            </w:r>
            <w:r>
              <w:br/>
            </w:r>
            <w:r>
              <w:rPr>
                <w:color w:val="666666"/>
                <w:sz w:val="18"/>
              </w:rPr>
              <w:t>Published by Arete Litera under PT Arete Mahardika Saqhi</w:t>
            </w:r>
          </w:p>
        </w:tc>
        <w:tc>
          <w:tcPr>
            <w:tcW w:w="4762" w:type="dxa"/>
            <w:shd w:val="clear" w:color="auto" w:fill="3F6FB5"/>
          </w:tcPr>
          <w:p w14:paraId="38D0F0CE" w14:textId="77777777" w:rsidR="00E31D22" w:rsidRDefault="00066F89">
            <w:pPr>
              <w:jc w:val="right"/>
            </w:pPr>
            <w:r>
              <w:rPr>
                <w:b/>
                <w:color w:val="FFFFFF"/>
                <w:sz w:val="18"/>
              </w:rPr>
              <w:t>Vol. 1, No. 1</w:t>
              <w:br/>
              <w:t>February 2026</w:t>
              <w:br/>
              <w:t>P-ISSN: XXXX-XXXX</w:t>
              <w:br/>
              <w:t>E-ISSN: XXXX-XXXX</w:t>
            </w:r>
          </w:p>
        </w:tc>
      </w:tr>
    </w:tbl>
    <w:p w14:paraId="62619FDE" w14:textId="77777777" w:rsidR="00E31D22" w:rsidRDefault="00E31D22"/>
    <w:p w14:paraId="563EE323" w14:textId="77777777" w:rsidR="00E31D22" w:rsidRDefault="00066F89">
      <w:pPr>
        <w:spacing w:after="160"/>
        <w:jc w:val="center"/>
      </w:pPr>
      <w:r>
        <w:rPr>
          <w:b/>
          <w:color w:val="111111"/>
          <w:sz w:val="30"/>
        </w:rPr>
        <w:t xml:space="preserve">Design and Usability Evaluation Framework for an Augmented Reality-Based Civic Education Application</w:t>
      </w:r>
    </w:p>
    <w:p w14:paraId="459C873D" w14:textId="77777777" w:rsidR="00E31D22" w:rsidRDefault="00066F89">
      <w:pPr>
        <w:jc w:val="center"/>
      </w:pPr>
      <w:r>
        <w:rPr>
          <w:b/>
          <w:color w:val="111111"/>
        </w:rPr>
        <w:t>Ahmad Sugianto¹ and Suryono¹</w:t>
      </w:r>
    </w:p>
    <w:p w14:paraId="20FCFA9D" w14:textId="77777777" w:rsidR="00E31D22" w:rsidRDefault="00066F89">
      <w:pPr>
        <w:jc w:val="center"/>
      </w:pPr>
      <w:r>
        <w:rPr>
          <w:i/>
          <w:color w:val="666666"/>
          <w:sz w:val="20"/>
        </w:rPr>
        <w:t>¹ Universitas Tangerang Raya, Indonesia</w:t>
      </w:r>
    </w:p>
    <w:p w14:paraId="24272F81" w14:textId="77777777" w:rsidR="00E31D22" w:rsidRDefault="00066F89">
      <w:pPr>
        <w:jc w:val="center"/>
      </w:pPr>
      <w:r>
        <w:rPr>
          <w:color w:val="3F6FB5"/>
          <w:sz w:val="20"/>
        </w:rPr>
        <w:t>Corresponding authors: sugiantoahmad47@gmail.com; suryono1680@gmail.com</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2381"/>
        <w:gridCol w:w="2381"/>
        <w:gridCol w:w="2381"/>
        <w:gridCol w:w="2381"/>
      </w:tblGrid>
      <w:tr w:rsidR="00E31D22" w14:paraId="5948CB97" w14:textId="77777777">
        <w:trPr>
          <w:jc w:val="center"/>
        </w:trPr>
        <w:tc>
          <w:tcPr>
            <w:tcW w:w="2381" w:type="dxa"/>
            <w:shd w:val="clear" w:color="auto" w:fill="F1F3F6"/>
            <w:vAlign w:val="center"/>
          </w:tcPr>
          <w:p w14:paraId="0E5632DF" w14:textId="77777777" w:rsidR="00E31D22" w:rsidRDefault="00066F89">
            <w:r>
              <w:rPr>
                <w:b/>
                <w:color w:val="3F6FB5"/>
                <w:sz w:val="20"/>
              </w:rPr>
              <w:t>Received</w:t>
            </w:r>
          </w:p>
        </w:tc>
        <w:tc>
          <w:tcPr>
            <w:tcW w:w="2381" w:type="dxa"/>
            <w:vAlign w:val="center"/>
          </w:tcPr>
          <w:p w14:paraId="1BEA41AC" w14:textId="77777777" w:rsidR="00E31D22" w:rsidRDefault="00066F89">
            <w:r>
              <w:rPr>
                <w:color w:val="666666"/>
                <w:sz w:val="20"/>
              </w:rPr>
              <w:t>DD Month 2026</w:t>
            </w:r>
          </w:p>
        </w:tc>
        <w:tc>
          <w:tcPr>
            <w:tcW w:w="2381" w:type="dxa"/>
            <w:shd w:val="clear" w:color="auto" w:fill="F1F3F6"/>
            <w:vAlign w:val="center"/>
          </w:tcPr>
          <w:p w14:paraId="04E620DB" w14:textId="77777777" w:rsidR="00E31D22" w:rsidRDefault="00066F89">
            <w:r>
              <w:rPr>
                <w:b/>
                <w:color w:val="3F6FB5"/>
                <w:sz w:val="20"/>
              </w:rPr>
              <w:t>Revised</w:t>
            </w:r>
          </w:p>
        </w:tc>
        <w:tc>
          <w:tcPr>
            <w:tcW w:w="2381" w:type="dxa"/>
            <w:vAlign w:val="center"/>
          </w:tcPr>
          <w:p w14:paraId="0B871BF9" w14:textId="77777777" w:rsidR="00E31D22" w:rsidRDefault="00066F89">
            <w:r>
              <w:rPr>
                <w:color w:val="666666"/>
                <w:sz w:val="20"/>
              </w:rPr>
              <w:t>DD Month 2026</w:t>
            </w:r>
          </w:p>
        </w:tc>
      </w:tr>
      <w:tr w:rsidR="00E31D22" w14:paraId="56FB236F" w14:textId="77777777">
        <w:trPr>
          <w:jc w:val="center"/>
        </w:trPr>
        <w:tc>
          <w:tcPr>
            <w:tcW w:w="2381" w:type="dxa"/>
            <w:shd w:val="clear" w:color="auto" w:fill="F1F3F6"/>
            <w:vAlign w:val="center"/>
          </w:tcPr>
          <w:p w14:paraId="58B7392B" w14:textId="77777777" w:rsidR="00E31D22" w:rsidRDefault="00066F89">
            <w:r>
              <w:rPr>
                <w:b/>
                <w:color w:val="3F6FB5"/>
                <w:sz w:val="20"/>
              </w:rPr>
              <w:t>Accepted</w:t>
            </w:r>
          </w:p>
        </w:tc>
        <w:tc>
          <w:tcPr>
            <w:tcW w:w="2381" w:type="dxa"/>
            <w:vAlign w:val="center"/>
          </w:tcPr>
          <w:p w14:paraId="0819143F" w14:textId="77777777" w:rsidR="00E31D22" w:rsidRDefault="00066F89">
            <w:r>
              <w:rPr>
                <w:color w:val="666666"/>
                <w:sz w:val="20"/>
              </w:rPr>
              <w:t>DD Month 2026</w:t>
            </w:r>
          </w:p>
        </w:tc>
        <w:tc>
          <w:tcPr>
            <w:tcW w:w="2381" w:type="dxa"/>
            <w:shd w:val="clear" w:color="auto" w:fill="F1F3F6"/>
            <w:vAlign w:val="center"/>
          </w:tcPr>
          <w:p w14:paraId="452A5E66" w14:textId="77777777" w:rsidR="00E31D22" w:rsidRDefault="00066F89">
            <w:r>
              <w:rPr>
                <w:b/>
                <w:color w:val="3F6FB5"/>
                <w:sz w:val="20"/>
              </w:rPr>
              <w:t>Published</w:t>
            </w:r>
          </w:p>
        </w:tc>
        <w:tc>
          <w:tcPr>
            <w:tcW w:w="2381" w:type="dxa"/>
            <w:vAlign w:val="center"/>
          </w:tcPr>
          <w:p w14:paraId="05743AA9" w14:textId="77777777" w:rsidR="00E31D22" w:rsidRDefault="00066F89">
            <w:r>
              <w:rPr>
                <w:color w:val="666666"/>
                <w:sz w:val="20"/>
              </w:rPr>
              <w:t>DD Month 2026</w:t>
            </w:r>
          </w:p>
        </w:tc>
      </w:tr>
    </w:tbl>
    <w:p w14:paraId="7B8B4272" w14:textId="77777777" w:rsidR="00E31D22" w:rsidRDefault="00066F89">
      <w:pPr>
        <w:pStyle w:val="JASTEH1"/>
      </w:pPr>
      <w:r>
        <w:t>ABSTRACT</w:t>
      </w:r>
    </w:p>
    <w:p w14:paraId="2881098D" w14:textId="77777777" w:rsidR="00E31D22" w:rsidRDefault="00066F89">
      <w:pPr>
        <w:spacing w:after="120"/>
        <w:jc w:val="both"/>
      </w:pPr>
      <w:r>
        <w:rPr>
          <w:i/>
          <w:color w:val="111111"/>
        </w:rPr>
        <w:t xml:space="preserve">Augmented reality can support civic education by connecting abstract concepts with contextual three-dimensional objects, interactive scenarios, and location-aware learning activities. However, educational relevance does not by itself demonstrate that an augmented reality application is technically usable, reliable, or deployable. This conceptual design article develops an engineering and usability-evaluation framework for an augmented reality-based civic education application. The framework covers requirements analysis, content-object mapping, interaction design, marker or markerless tracking, asset optimization, device compatibility, privacy, functional testing, and user evaluation. It recommends measuring task completion, learnability, efficiency, error rate, interface consistency, tracking stability, rendering performance, and perceived usability. Educational outcomes may be evaluated as secondary evidence, while the primary contribution remains the design and validation of the technological system. The analysis identifies major risks including low-end device limitations, unstable tracking, excessive cognitive load, inaccessible interaction patterns, and inadequate protection of student data. A staged evaluation process is proposed, beginning with expert inspection and laboratory testing, followed by small-scale usability testing and field validation. The framework enables future researchers to report augmented reality educational applications with clearer technical specifications, reproducible procedures, and measurable performance criteria.</w:t>
      </w:r>
    </w:p>
    <w:p w14:paraId="79581CB1" w14:textId="77777777" w:rsidR="00E31D22" w:rsidRDefault="00066F89">
      <w:r>
        <w:rPr>
          <w:b/>
          <w:color w:val="3F6FB5"/>
        </w:rPr>
        <w:t xml:space="preserve">Keywords: </w:t>
      </w:r>
      <w:r>
        <w:rPr>
          <w:i/>
          <w:color w:val="111111"/>
        </w:rPr>
        <w:t>augmented reality; civic education; usability evaluation; mobile application; educational technology</w:t>
      </w:r>
    </w:p>
    <w:p>
      <w:pPr>
        <w:pStyle w:val="JASTEH1"/>
      </w:pPr>
      <w:r>
        <w:t>1. INTRODUCTION</w:t>
      </w:r>
    </w:p>
    <w:p>
      <w:pPr>
        <w:spacing w:after="120"/>
        <w:jc w:val="both"/>
      </w:pPr>
      <w:r>
        <w:t xml:space="preserve">Civic education frequently addresses institutions, diversity, participation, rights, and public decision-making. Many of these ideas are difficult to represent through static text alone. Augmented reality (AR) can overlay interactive digital content on physical materials and environments, creating opportunities for contextual exploration (Azuma, 1997; Billinghurst et al., 2015). Reviews of educational AR consistently identify visualization, situated interaction, engagement, and the representation of otherwise abstract phenomena as important affordances (Akçayır &amp; Akçayır, 2017; Radu, 2014; Wu et al., 2013).</w:t>
      </w:r>
    </w:p>
    <w:p>
      <w:pPr>
        <w:spacing w:after="120"/>
        <w:jc w:val="both"/>
      </w:pPr>
      <w:r>
        <w:t xml:space="preserve">An AR learning activity may still fail if tracking is unstable, instructions are unclear, devices overheat, three-dimensional assets load slowly, or interactions exclude some learners. Technical problems, usability barriers, cognitive overload, and fragmented attention are repeatedly reported in the educational AR literature (Akçayır &amp; Akçayır, 2017; Dunleavy et al., 2009; Garzón et al., 2019). Accordingly, a JASTE-aligned study should foreground system design and measurable technical validation rather than only reporting changes in educational attitudes.</w:t>
      </w:r>
    </w:p>
    <w:p>
      <w:pPr>
        <w:spacing w:after="120"/>
        <w:jc w:val="both"/>
      </w:pPr>
      <w:r>
        <w:t xml:space="preserve">This article proposes an application architecture and evaluation framework that can guide the development of technically credible AR civic-education systems. The framework follows a design-based orientation in which technological artifacts are developed, examined, and refined through iterative cycles in authentic learning contexts (Wang &amp; Hannafin, 2005). Section 2 frames the engineering problem; Section 3 describes the review method; Section 4 presents the proposed architecture; Section 5 specifies validation and performance evaluation; Section 6 addresses risk, ethics, privacy, and governance; Section 7 proposes an implementation roadmap; and Sections 8 and 9 discuss and conclude.</w:t>
      </w:r>
    </w:p>
    <w:p>
      <w:pPr>
        <w:pStyle w:val="JASTEH1"/>
      </w:pPr>
      <w:r>
        <w:t>2. BACKGROUND AND PROBLEM FORMULATION</w:t>
      </w:r>
    </w:p>
    <w:p>
      <w:pPr>
        <w:spacing w:after="120"/>
        <w:jc w:val="both"/>
      </w:pPr>
      <w:r>
        <w:t xml:space="preserve">The engineering problem addressed in this article concerns the design and validation of an augmented reality application intended to support civic education in secondary or tertiary classrooms. Pedagogical relevance and technical reliability are frequently evaluated separately, so an application may report favorable attitudes toward civic content while concealing unstable tracking, inaccessible controls, or unmanaged privacy risk. A useful design must separate observable technical signals from claims about learning benefit, document uncertainty in both domains, and preserve a clear route for expert and user verification. The proposed contribution is therefore a design and evaluation framework, expressed as a testable architecture that later empirical studies can adopt, adapt, or revise.</w:t>
      </w:r>
    </w:p>
    <w:p>
      <w:pPr>
        <w:spacing w:after="120"/>
        <w:jc w:val="both"/>
      </w:pPr>
      <w:r>
        <w:t xml:space="preserve">The intended evidence base combines peer-reviewed technical studies on augmented reality systems, established usability-engineering literature, international frameworks for civic and citizenship education, and standards for accessibility and privacy. Camera input, spatial tracking data, three-dimensional assets, learner interaction logs, and assessment records are treated as potential system inputs whose availability, quality, and sensitivity must be assessed before use; provenance, consent, and minimization are part of the system boundary from the outset.</w:t>
      </w:r>
    </w:p>
    <w:p>
      <w:pPr>
        <w:spacing w:after="120"/>
        <w:jc w:val="both"/>
      </w:pPr>
      <w:r>
        <w:t xml:space="preserve">The main design layers are content and requirements definition, tracking and rendering architecture, interaction and decision logic, and interface and oversight, connected by documented interfaces so that a fault can be traced to content authoring, sensor input, rendering, interaction design, or governance. The framework is intended for instructional designers, civic-education teachers, application developers, school information-technology administrators, and researchers, whose requirements are not identical: teachers need interpretable, classroom-manageable tools; developers need reproducible specifications; administrators need device-compatibility and privacy assurances; and researchers need measurable, comparable evaluation criteria (Wang &amp; Hannafin, 2005).</w:t>
      </w:r>
    </w:p>
    <w:p>
      <w:pPr>
        <w:jc w:val="center"/>
      </w:pPr>
      <w:r>
        <w:rPr>
          <w:b/>
          <w:color w:val="111111"/>
          <w:sz w:val="20"/>
        </w:rPr>
        <w:t>Table 1. Problem Context and Design Response</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175"/>
        <w:gridCol w:w="3175"/>
        <w:gridCol w:w="3175"/>
      </w:tblGrid>
      <w:tr>
        <w:trPr>
          <w:jc w:val="center"/>
        </w:trPr>
        <w:tc>
          <w:tcPr>
            <w:tcW w:w="3175" w:type="dxa"/>
            <w:shd w:val="clear" w:color="auto" w:fill="3F6FB5"/>
          </w:tcPr>
          <w:p>
            <w:pPr>
              <w:spacing w:after="0"/>
              <w:jc w:val="center"/>
            </w:pPr>
            <w:r>
              <w:rPr>
                <w:b/>
                <w:color w:val="FFFFFF"/>
                <w:sz w:val="16"/>
              </w:rPr>
              <w:t xml:space="preserve">Dimension</w:t>
            </w:r>
          </w:p>
        </w:tc>
        <w:tc>
          <w:tcPr>
            <w:tcW w:w="3175" w:type="dxa"/>
            <w:shd w:val="clear" w:color="auto" w:fill="3F6FB5"/>
          </w:tcPr>
          <w:p>
            <w:pPr>
              <w:spacing w:after="0"/>
              <w:jc w:val="center"/>
            </w:pPr>
            <w:r>
              <w:rPr>
                <w:b/>
                <w:color w:val="FFFFFF"/>
                <w:sz w:val="16"/>
              </w:rPr>
              <w:t xml:space="preserve">Engineering concern</w:t>
            </w:r>
          </w:p>
        </w:tc>
        <w:tc>
          <w:tcPr>
            <w:tcW w:w="3175" w:type="dxa"/>
            <w:shd w:val="clear" w:color="auto" w:fill="3F6FB5"/>
          </w:tcPr>
          <w:p>
            <w:pPr>
              <w:spacing w:after="0"/>
              <w:jc w:val="center"/>
            </w:pPr>
            <w:r>
              <w:rPr>
                <w:b/>
                <w:color w:val="FFFFFF"/>
                <w:sz w:val="16"/>
              </w:rPr>
              <w:t xml:space="preserve">Required response</w:t>
            </w:r>
          </w:p>
        </w:tc>
      </w:tr>
      <w:tr>
        <w:trPr>
          <w:jc w:val="center"/>
        </w:trPr>
        <w:tc>
          <w:tcPr>
            <w:tcW w:w="3175" w:type="dxa"/>
            <w:vAlign w:val="center"/>
          </w:tcPr>
          <w:p>
            <w:pPr>
              <w:spacing w:after="0"/>
            </w:pPr>
            <w:r>
              <w:rPr>
                <w:color w:val="111111"/>
                <w:sz w:val="16"/>
              </w:rPr>
              <w:t xml:space="preserve">Content</w:t>
            </w:r>
          </w:p>
        </w:tc>
        <w:tc>
          <w:tcPr>
            <w:tcW w:w="3175" w:type="dxa"/>
            <w:vAlign w:val="center"/>
          </w:tcPr>
          <w:p>
            <w:pPr>
              <w:spacing w:after="0"/>
            </w:pPr>
            <w:r>
              <w:rPr>
                <w:color w:val="111111"/>
                <w:sz w:val="16"/>
              </w:rPr>
              <w:t xml:space="preserve">Abstract civic concepts difficult to visualize</w:t>
            </w:r>
          </w:p>
        </w:tc>
        <w:tc>
          <w:tcPr>
            <w:tcW w:w="3175" w:type="dxa"/>
            <w:vAlign w:val="center"/>
          </w:tcPr>
          <w:p>
            <w:pPr>
              <w:spacing w:after="0"/>
            </w:pPr>
            <w:r>
              <w:rPr>
                <w:color w:val="111111"/>
                <w:sz w:val="16"/>
              </w:rPr>
              <w:t xml:space="preserve">Task-aligned AR content mapping</w:t>
            </w:r>
          </w:p>
        </w:tc>
      </w:tr>
      <w:tr>
        <w:trPr>
          <w:jc w:val="center"/>
        </w:trPr>
        <w:tc>
          <w:tcPr>
            <w:tcW w:w="3175" w:type="dxa"/>
            <w:vAlign w:val="center"/>
          </w:tcPr>
          <w:p>
            <w:pPr>
              <w:spacing w:after="0"/>
            </w:pPr>
            <w:r>
              <w:rPr>
                <w:color w:val="111111"/>
                <w:sz w:val="16"/>
              </w:rPr>
              <w:t xml:space="preserve">Tracking</w:t>
            </w:r>
          </w:p>
        </w:tc>
        <w:tc>
          <w:tcPr>
            <w:tcW w:w="3175" w:type="dxa"/>
            <w:vAlign w:val="center"/>
          </w:tcPr>
          <w:p>
            <w:pPr>
              <w:spacing w:after="0"/>
            </w:pPr>
            <w:r>
              <w:rPr>
                <w:color w:val="111111"/>
                <w:sz w:val="16"/>
              </w:rPr>
              <w:t xml:space="preserve">Marker or environment instability</w:t>
            </w:r>
          </w:p>
        </w:tc>
        <w:tc>
          <w:tcPr>
            <w:tcW w:w="3175" w:type="dxa"/>
            <w:vAlign w:val="center"/>
          </w:tcPr>
          <w:p>
            <w:pPr>
              <w:spacing w:after="0"/>
            </w:pPr>
            <w:r>
              <w:rPr>
                <w:color w:val="111111"/>
                <w:sz w:val="16"/>
              </w:rPr>
              <w:t xml:space="preserve">Device- and setting-appropriate tracking choice</w:t>
            </w:r>
          </w:p>
        </w:tc>
      </w:tr>
      <w:tr>
        <w:trPr>
          <w:jc w:val="center"/>
        </w:trPr>
        <w:tc>
          <w:tcPr>
            <w:tcW w:w="3175" w:type="dxa"/>
            <w:vAlign w:val="center"/>
          </w:tcPr>
          <w:p>
            <w:pPr>
              <w:spacing w:after="0"/>
            </w:pPr>
            <w:r>
              <w:rPr>
                <w:color w:val="111111"/>
                <w:sz w:val="16"/>
              </w:rPr>
              <w:t xml:space="preserve">Interaction</w:t>
            </w:r>
          </w:p>
        </w:tc>
        <w:tc>
          <w:tcPr>
            <w:tcW w:w="3175" w:type="dxa"/>
            <w:vAlign w:val="center"/>
          </w:tcPr>
          <w:p>
            <w:pPr>
              <w:spacing w:after="0"/>
            </w:pPr>
            <w:r>
              <w:rPr>
                <w:color w:val="111111"/>
                <w:sz w:val="16"/>
              </w:rPr>
              <w:t xml:space="preserve">Exclusionary or motion-dependent controls</w:t>
            </w:r>
          </w:p>
        </w:tc>
        <w:tc>
          <w:tcPr>
            <w:tcW w:w="3175" w:type="dxa"/>
            <w:vAlign w:val="center"/>
          </w:tcPr>
          <w:p>
            <w:pPr>
              <w:spacing w:after="0"/>
            </w:pPr>
            <w:r>
              <w:rPr>
                <w:color w:val="111111"/>
                <w:sz w:val="16"/>
              </w:rPr>
              <w:t xml:space="preserve">Accessible, fallback-enabled interface</w:t>
            </w:r>
          </w:p>
        </w:tc>
      </w:tr>
      <w:tr>
        <w:trPr>
          <w:jc w:val="center"/>
        </w:trPr>
        <w:tc>
          <w:tcPr>
            <w:tcW w:w="3175" w:type="dxa"/>
            <w:vAlign w:val="center"/>
          </w:tcPr>
          <w:p>
            <w:pPr>
              <w:spacing w:after="0"/>
            </w:pPr>
            <w:r>
              <w:rPr>
                <w:color w:val="111111"/>
                <w:sz w:val="16"/>
              </w:rPr>
              <w:t xml:space="preserve">Data</w:t>
            </w:r>
          </w:p>
        </w:tc>
        <w:tc>
          <w:tcPr>
            <w:tcW w:w="3175" w:type="dxa"/>
            <w:vAlign w:val="center"/>
          </w:tcPr>
          <w:p>
            <w:pPr>
              <w:spacing w:after="0"/>
            </w:pPr>
            <w:r>
              <w:rPr>
                <w:color w:val="111111"/>
                <w:sz w:val="16"/>
              </w:rPr>
              <w:t xml:space="preserve">Camera, location, and learner records</w:t>
            </w:r>
          </w:p>
        </w:tc>
        <w:tc>
          <w:tcPr>
            <w:tcW w:w="3175" w:type="dxa"/>
            <w:vAlign w:val="center"/>
          </w:tcPr>
          <w:p>
            <w:pPr>
              <w:spacing w:after="0"/>
            </w:pPr>
            <w:r>
              <w:rPr>
                <w:color w:val="111111"/>
                <w:sz w:val="16"/>
              </w:rPr>
              <w:t xml:space="preserve">Privacy-by-design and minimization</w:t>
            </w:r>
          </w:p>
        </w:tc>
      </w:tr>
    </w:tbl>
    <w:p>
      <w:pPr>
        <w:spacing w:after="120"/>
      </w:pPr>
    </w:p>
    <w:p>
      <w:pPr>
        <w:spacing w:after="120"/>
        <w:jc w:val="both"/>
      </w:pPr>
      <w:r>
        <w:t xml:space="preserve">A requirements baseline should translate this problem formulation into verifiable statements identifying the triggering condition, expected response, acceptance criterion, and responsible reviewer, and should record explicit non-goals—such as not claiming that engagement alone guarantees civic-knowledge gains—so users do not infer unsupported outcomes from an advanced feature.</w:t>
      </w:r>
    </w:p>
    <w:p>
      <w:pPr>
        <w:pStyle w:val="JASTEH1"/>
      </w:pPr>
      <w:r>
        <w:t>3. REVIEW METHOD</w:t>
      </w:r>
    </w:p>
    <w:p>
      <w:pPr>
        <w:spacing w:after="120"/>
        <w:jc w:val="both"/>
      </w:pPr>
      <w:r>
        <w:t xml:space="preserve">A design-oriented narrative synthesis was used to integrate research on mobile AR, usability engineering, educational application design, and technology acceptance. Foundational surveys and systematic reviews were selected to represent AR definitions, educational affordances, technical constraints, and evaluation practices (Azuma, 1997; Billinghurst et al., 2015; Ibáñez &amp; Delgado-Kloos, 2018; Santos et al., 2014). The synthesis was organized around the software lifecycle: requirements, architecture, implementation, verification, user evaluation, and field deployment.</w:t>
      </w:r>
    </w:p>
    <w:p>
      <w:pPr>
        <w:spacing w:after="120"/>
        <w:jc w:val="both"/>
      </w:pPr>
      <w:r>
        <w:t xml:space="preserve">The framework treats learning outcomes as an application-domain objective while defining technical usability and reliability as the primary engineering outcomes. Usability is operationalized as effectiveness, efficiency, and satisfaction in a specified context of use, consistent with ISO 9241-11 (International Organization for Standardization [ISO], 2018), while product-quality characteristics are informed by ISO/IEC 25010 (ISO/IEC, 2011). The procedure used four stages—problem-boundary definition, extraction of technical and pedagogical requirements, mapping of components to requirements, and specification of evaluation criteria—prioritizing transparency and transferability to school computing environments typical of Indonesian secondary and tertiary institutions rather than a pooled statistical effect.</w:t>
      </w:r>
    </w:p>
    <w:p>
      <w:pPr>
        <w:pStyle w:val="JASTEH2"/>
      </w:pPr>
      <w:r>
        <w:t>3.1 Review Questions</w:t>
      </w:r>
    </w:p>
    <w:p>
      <w:pPr>
        <w:spacing w:after="120"/>
        <w:jc w:val="both"/>
      </w:pPr>
      <w:r>
        <w:t xml:space="preserve">The review asked four questions: What technical and content inputs does an AR civic-education application require? How should tracking, rendering, and interaction components be organized and validated? Which usability and learning measures are appropriate for evaluating the system? What governance and privacy controls are necessary for responsible classroom deployment? These questions connect the literature to the proposed framework and to the validation protocol in Section 5.</w:t>
      </w:r>
    </w:p>
    <w:p>
      <w:pPr>
        <w:pStyle w:val="JASTEH1"/>
      </w:pPr>
      <w:r>
        <w:t>4. PROPOSED SYSTEM ARCHITECTURE</w:t>
      </w:r>
    </w:p>
    <w:p>
      <w:pPr>
        <w:pStyle w:val="JASTEH2"/>
      </w:pPr>
      <w:r>
        <w:t>4.1 System Inputs and Requirements</w:t>
      </w:r>
    </w:p>
    <w:p>
      <w:pPr>
        <w:spacing w:after="120"/>
        <w:jc w:val="both"/>
      </w:pPr>
      <w:r>
        <w:t xml:space="preserve">Requirements analysis should translate each civic-learning objective into an observable user task and a suitable AR interaction, mapping content to three-dimensional objects, annotations, audio, quizzes, or scenario choices only when the spatial overlay adds value (Cheng &amp; Tsai, 2013; Ibáñez &amp; Delgado-Kloos, 2018). A non-AR fallback, keyboard-operable controls, captions, and alternatives to motion-dependent interaction address device limitations and accessibility requirements (World Wide Web Consortium [W3C], 2023).</w:t>
      </w:r>
    </w:p>
    <w:p>
      <w:pPr>
        <w:pStyle w:val="JASTEH2"/>
      </w:pPr>
      <w:r>
        <w:t>4.2 Processing and Analytical Architecture</w:t>
      </w:r>
    </w:p>
    <w:p>
      <w:pPr>
        <w:spacing w:after="120"/>
        <w:jc w:val="both"/>
      </w:pPr>
      <w:r>
        <w:t xml:space="preserve">The application architecture should separate content management, tracking, rendering, interaction logic, assessment, and analytics. Marker-based and markerless components should be selected according to the physical setting and device capability, since tracking quality directly affects registration reliability (Carmigniani et al., 2011; Zhou et al., 2008). Asset size, memory use, and loading time must be specified, and privacy-by-design requires data minimization and risk-based safeguards for student information (National Institute of Standards and Technology [NIST], 2020).</w:t>
      </w:r>
    </w:p>
    <w:p>
      <w:pPr>
        <w:pStyle w:val="JASTEH2"/>
      </w:pPr>
      <w:r>
        <w:t>4.3 Decision, Interface, and Oversight</w:t>
      </w:r>
    </w:p>
    <w:p>
      <w:pPr>
        <w:spacing w:after="120"/>
        <w:jc w:val="both"/>
      </w:pPr>
      <w:r>
        <w:t xml:space="preserve">Verification begins with functional tests across representative Android devices, screen sizes, lighting conditions, camera qualities, and network states. Tracking stability can be reported as successful detection rate, reacquisition time, drift, and failure frequency, addressing recurring registration and environmental-sensitivity problems in mobile AR (Billinghurst et al., 2015; Zhou et al., 2008). Performance measures include launch time, frame rate, memory consumption, battery use, thermal behavior, and crash rate, recorded alongside hardware, operating-system version, and tracking-library version so that results can be interpreted and reproduced.</w:t>
      </w:r>
    </w:p>
    <w:p>
      <w:pPr>
        <w:pStyle w:val="JASTEH2"/>
      </w:pPr>
      <w:r>
        <w:t>4.4 Content, Interaction, and Accessibility Design</w:t>
      </w:r>
    </w:p>
    <w:p>
      <w:pPr>
        <w:spacing w:after="120"/>
        <w:jc w:val="both"/>
      </w:pPr>
      <w:r>
        <w:t xml:space="preserve">Content authoring should distinguish core civic concepts that benefit from spatial representation—institutional structures, decision-making processes, geographically situated events—from information adequately conveyed through text, since an AR layer added where spatial reasoning is unneeded raises cost without pedagogical benefit (Cheng &amp; Tsai, 2013; Mayer, 2021).</w:t>
      </w:r>
    </w:p>
    <w:p>
      <w:pPr>
        <w:spacing w:after="120"/>
        <w:jc w:val="both"/>
      </w:pPr>
      <w:r>
        <w:t xml:space="preserve">Interaction design should follow established usability heuristics for feedback, consistency, error prevention, and recognition rather than recall, adapted to camera-based interaction (Nielsen, 1994). Gesture- or motion-based controls should have a keyboard- or touch-operable equivalent, and instructions should be available in text and audio form, consistent with the Web Content Accessibility Guidelines (W3C, 2023). Location-aware or place-based scenarios tied to civic institutions or public spaces have demonstrated pedagogical value in prior AR research (Squire &amp; Klopfer, 2007), but designers should verify that such interactions remain usable indoors and on lower-end devices common in many Indonesian schools.</w:t>
      </w:r>
    </w:p>
    <w:p>
      <w:pPr>
        <w:jc w:val="center"/>
      </w:pPr>
      <w:r>
        <w:rPr>
          <w:b/>
          <w:color w:val="111111"/>
          <w:sz w:val="20"/>
        </w:rPr>
        <w:t>Table 2. Core Architecture and Control Points</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175"/>
        <w:gridCol w:w="3175"/>
        <w:gridCol w:w="3175"/>
      </w:tblGrid>
      <w:tr>
        <w:trPr>
          <w:jc w:val="center"/>
        </w:trPr>
        <w:tc>
          <w:tcPr>
            <w:tcW w:w="3175" w:type="dxa"/>
            <w:shd w:val="clear" w:color="auto" w:fill="3F6FB5"/>
          </w:tcPr>
          <w:p>
            <w:pPr>
              <w:spacing w:after="0"/>
              <w:jc w:val="center"/>
            </w:pPr>
            <w:r>
              <w:rPr>
                <w:b/>
                <w:color w:val="FFFFFF"/>
                <w:sz w:val="16"/>
              </w:rPr>
              <w:t xml:space="preserve">Layer</w:t>
            </w:r>
          </w:p>
        </w:tc>
        <w:tc>
          <w:tcPr>
            <w:tcW w:w="3175" w:type="dxa"/>
            <w:shd w:val="clear" w:color="auto" w:fill="3F6FB5"/>
          </w:tcPr>
          <w:p>
            <w:pPr>
              <w:spacing w:after="0"/>
              <w:jc w:val="center"/>
            </w:pPr>
            <w:r>
              <w:rPr>
                <w:b/>
                <w:color w:val="FFFFFF"/>
                <w:sz w:val="16"/>
              </w:rPr>
              <w:t xml:space="preserve">Principal function</w:t>
            </w:r>
          </w:p>
        </w:tc>
        <w:tc>
          <w:tcPr>
            <w:tcW w:w="3175" w:type="dxa"/>
            <w:shd w:val="clear" w:color="auto" w:fill="3F6FB5"/>
          </w:tcPr>
          <w:p>
            <w:pPr>
              <w:spacing w:after="0"/>
              <w:jc w:val="center"/>
            </w:pPr>
            <w:r>
              <w:rPr>
                <w:b/>
                <w:color w:val="FFFFFF"/>
                <w:sz w:val="16"/>
              </w:rPr>
              <w:t xml:space="preserve">Control point</w:t>
            </w:r>
          </w:p>
        </w:tc>
      </w:tr>
      <w:tr>
        <w:trPr>
          <w:jc w:val="center"/>
        </w:trPr>
        <w:tc>
          <w:tcPr>
            <w:tcW w:w="3175" w:type="dxa"/>
            <w:vAlign w:val="center"/>
          </w:tcPr>
          <w:p>
            <w:pPr>
              <w:spacing w:after="0"/>
            </w:pPr>
            <w:r>
              <w:rPr>
                <w:color w:val="111111"/>
                <w:sz w:val="16"/>
              </w:rPr>
              <w:t xml:space="preserve">Input</w:t>
            </w:r>
          </w:p>
        </w:tc>
        <w:tc>
          <w:tcPr>
            <w:tcW w:w="3175" w:type="dxa"/>
            <w:vAlign w:val="center"/>
          </w:tcPr>
          <w:p>
            <w:pPr>
              <w:spacing w:after="0"/>
            </w:pPr>
            <w:r>
              <w:rPr>
                <w:color w:val="111111"/>
                <w:sz w:val="16"/>
              </w:rPr>
              <w:t xml:space="preserve">Define and validate content and requirements</w:t>
            </w:r>
          </w:p>
        </w:tc>
        <w:tc>
          <w:tcPr>
            <w:tcW w:w="3175" w:type="dxa"/>
            <w:vAlign w:val="center"/>
          </w:tcPr>
          <w:p>
            <w:pPr>
              <w:spacing w:after="0"/>
            </w:pPr>
            <w:r>
              <w:rPr>
                <w:color w:val="111111"/>
                <w:sz w:val="16"/>
              </w:rPr>
              <w:t xml:space="preserve">Task alignment, accessibility</w:t>
            </w:r>
          </w:p>
        </w:tc>
      </w:tr>
      <w:tr>
        <w:trPr>
          <w:jc w:val="center"/>
        </w:trPr>
        <w:tc>
          <w:tcPr>
            <w:tcW w:w="3175" w:type="dxa"/>
            <w:vAlign w:val="center"/>
          </w:tcPr>
          <w:p>
            <w:pPr>
              <w:spacing w:after="0"/>
            </w:pPr>
            <w:r>
              <w:rPr>
                <w:color w:val="111111"/>
                <w:sz w:val="16"/>
              </w:rPr>
              <w:t xml:space="preserve">Processing</w:t>
            </w:r>
          </w:p>
        </w:tc>
        <w:tc>
          <w:tcPr>
            <w:tcW w:w="3175" w:type="dxa"/>
            <w:vAlign w:val="center"/>
          </w:tcPr>
          <w:p>
            <w:pPr>
              <w:spacing w:after="0"/>
            </w:pPr>
            <w:r>
              <w:rPr>
                <w:color w:val="111111"/>
                <w:sz w:val="16"/>
              </w:rPr>
              <w:t xml:space="preserve">Track, render, and manage assets</w:t>
            </w:r>
          </w:p>
        </w:tc>
        <w:tc>
          <w:tcPr>
            <w:tcW w:w="3175" w:type="dxa"/>
            <w:vAlign w:val="center"/>
          </w:tcPr>
          <w:p>
            <w:pPr>
              <w:spacing w:after="0"/>
            </w:pPr>
            <w:r>
              <w:rPr>
                <w:color w:val="111111"/>
                <w:sz w:val="16"/>
              </w:rPr>
              <w:t xml:space="preserve">Device compatibility, memory, frame rate</w:t>
            </w:r>
          </w:p>
        </w:tc>
      </w:tr>
      <w:tr>
        <w:trPr>
          <w:jc w:val="center"/>
        </w:trPr>
        <w:tc>
          <w:tcPr>
            <w:tcW w:w="3175" w:type="dxa"/>
            <w:vAlign w:val="center"/>
          </w:tcPr>
          <w:p>
            <w:pPr>
              <w:spacing w:after="0"/>
            </w:pPr>
            <w:r>
              <w:rPr>
                <w:color w:val="111111"/>
                <w:sz w:val="16"/>
              </w:rPr>
              <w:t xml:space="preserve">Decision</w:t>
            </w:r>
          </w:p>
        </w:tc>
        <w:tc>
          <w:tcPr>
            <w:tcW w:w="3175" w:type="dxa"/>
            <w:vAlign w:val="center"/>
          </w:tcPr>
          <w:p>
            <w:pPr>
              <w:spacing w:after="0"/>
            </w:pPr>
            <w:r>
              <w:rPr>
                <w:color w:val="111111"/>
                <w:sz w:val="16"/>
              </w:rPr>
              <w:t xml:space="preserve">Combine interaction outcomes and evaluation logic</w:t>
            </w:r>
          </w:p>
        </w:tc>
        <w:tc>
          <w:tcPr>
            <w:tcW w:w="3175" w:type="dxa"/>
            <w:vAlign w:val="center"/>
          </w:tcPr>
          <w:p>
            <w:pPr>
              <w:spacing w:after="0"/>
            </w:pPr>
            <w:r>
              <w:rPr>
                <w:color w:val="111111"/>
                <w:sz w:val="16"/>
              </w:rPr>
              <w:t xml:space="preserve">Error handling, feedback</w:t>
            </w:r>
          </w:p>
        </w:tc>
      </w:tr>
      <w:tr>
        <w:trPr>
          <w:jc w:val="center"/>
        </w:trPr>
        <w:tc>
          <w:tcPr>
            <w:tcW w:w="3175" w:type="dxa"/>
            <w:vAlign w:val="center"/>
          </w:tcPr>
          <w:p>
            <w:pPr>
              <w:spacing w:after="0"/>
            </w:pPr>
            <w:r>
              <w:rPr>
                <w:color w:val="111111"/>
                <w:sz w:val="16"/>
              </w:rPr>
              <w:t xml:space="preserve">Interface</w:t>
            </w:r>
          </w:p>
        </w:tc>
        <w:tc>
          <w:tcPr>
            <w:tcW w:w="3175" w:type="dxa"/>
            <w:vAlign w:val="center"/>
          </w:tcPr>
          <w:p>
            <w:pPr>
              <w:spacing w:after="0"/>
            </w:pPr>
            <w:r>
              <w:rPr>
                <w:color w:val="111111"/>
                <w:sz w:val="16"/>
              </w:rPr>
              <w:t xml:space="preserve">Communicate status and support oversight</w:t>
            </w:r>
          </w:p>
        </w:tc>
        <w:tc>
          <w:tcPr>
            <w:tcW w:w="3175" w:type="dxa"/>
            <w:vAlign w:val="center"/>
          </w:tcPr>
          <w:p>
            <w:pPr>
              <w:spacing w:after="0"/>
            </w:pPr>
            <w:r>
              <w:rPr>
                <w:color w:val="111111"/>
                <w:sz w:val="16"/>
              </w:rPr>
              <w:t xml:space="preserve">Consistency, teacher visibility</w:t>
            </w:r>
          </w:p>
        </w:tc>
      </w:tr>
    </w:tbl>
    <w:p>
      <w:pPr>
        <w:spacing w:after="120"/>
      </w:pPr>
    </w:p>
    <w:p>
      <w:pPr>
        <w:spacing w:after="120"/>
        <w:jc w:val="both"/>
      </w:pPr>
      <w:r>
        <w:t xml:space="preserve">Interfaces between layers should use documented schemas so that a downstream component can distinguish a valid empty result—such as a marker not currently visible—from a missing, corrupted, or technically failed input, since many operational failures in mobile AR arise from mismatched assumptions at these boundaries rather than from the core rendering algorithm itself (Carmigniani et al., 2011).</w:t>
      </w:r>
    </w:p>
    <w:p>
      <w:pPr>
        <w:pStyle w:val="JASTEH1"/>
      </w:pPr>
      <w:r>
        <w:t>5. VALIDATION AND PERFORMANCE EVALUATION</w:t>
      </w:r>
    </w:p>
    <w:p>
      <w:pPr>
        <w:spacing w:after="120"/>
        <w:jc w:val="both"/>
      </w:pPr>
      <w:r>
        <w:t xml:space="preserve">Usability evaluation should combine expert inspection, task-based observation, and a validated questionnaire such as the System Usability Scale (SUS), which provides a compact global usability measure (Brooke, 1996) with reliable, well-documented score interpretation (Bangor et al., 2008; Lewis, 2018). Researchers should report task completion, time on task, errors, and qualitative problems alongside questionnaire scores. Technology-acceptance constructs may supplement, but should not replace, observed usability evidence (Davis, 1989; Venkatesh et al., 2003).</w:t>
      </w:r>
    </w:p>
    <w:p>
      <w:pPr>
        <w:spacing w:after="120"/>
        <w:jc w:val="both"/>
      </w:pPr>
      <w:r>
        <w:t xml:space="preserve">Evaluation must measure more than a single usability score. The minimum set includes task completion rate, time on task, error frequency, tracking detection rate, reacquisition time, frame rate, and the standardized SUS score, each reported with the device model, operating-system version, and testing conditions under which it was obtained (Bangor et al., 2008; Lewis, 2018). A system that performs well on an average SUS score may still be unsafe or frustrating to use if tracking failures concentrate on a particular device tier, screen size, or lighting condition common in under-resourced classrooms.</w:t>
      </w:r>
    </w:p>
    <w:p>
      <w:pPr>
        <w:spacing w:after="120"/>
        <w:jc w:val="both"/>
      </w:pPr>
      <w:r>
        <w:t xml:space="preserve">Development, pilot, and field-evaluation data should be kept separate, since testing the same script repeatedly on one device and marker set can overstate stability relative to the variability learners encounter across classrooms and lighting. A credible protocol documents the devices sampled and the rationale for excluding any results.</w:t>
      </w:r>
    </w:p>
    <w:p>
      <w:pPr>
        <w:spacing w:after="120"/>
        <w:jc w:val="both"/>
      </w:pPr>
      <w:r>
        <w:t xml:space="preserve">Robustness testing should vary conditions expected after deployment rather than reproducing only a controlled laboratory demonstration. Stress conditions may include low-light rooms, partially occluded markers, older or low-memory devices, intermittent connectivity, and simultaneous use by many learners in one classroom. Results should identify failure modes and recovery behavior, including whether the application falls back gracefully to non-AR content when tracking cannot be established (Zhou et al., 2008).</w:t>
      </w:r>
    </w:p>
    <w:p>
      <w:pPr>
        <w:spacing w:after="120"/>
        <w:jc w:val="both"/>
      </w:pPr>
      <w:r>
        <w:t xml:space="preserve">Human factors require their own validation, separate from technical performance. Teachers and students should complete representative civic-learning tasks while researchers measure completion, confusion points, confidence, and requests for help. Think-aloud methods and short post-task interviews can reveal usability problems that a questionnaire score alone does not capture.</w:t>
      </w:r>
    </w:p>
    <w:p>
      <w:pPr>
        <w:jc w:val="center"/>
      </w:pPr>
      <w:r>
        <w:rPr>
          <w:b/>
          <w:color w:val="111111"/>
          <w:sz w:val="20"/>
        </w:rPr>
        <w:t>Table 3. Minimum Validation Matrix</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175"/>
        <w:gridCol w:w="3175"/>
        <w:gridCol w:w="3175"/>
      </w:tblGrid>
      <w:tr>
        <w:trPr>
          <w:jc w:val="center"/>
        </w:trPr>
        <w:tc>
          <w:tcPr>
            <w:tcW w:w="3175" w:type="dxa"/>
            <w:shd w:val="clear" w:color="auto" w:fill="3F6FB5"/>
          </w:tcPr>
          <w:p>
            <w:pPr>
              <w:spacing w:after="0"/>
              <w:jc w:val="center"/>
            </w:pPr>
            <w:r>
              <w:rPr>
                <w:b/>
                <w:color w:val="FFFFFF"/>
                <w:sz w:val="16"/>
              </w:rPr>
              <w:t xml:space="preserve">Evaluation stage</w:t>
            </w:r>
          </w:p>
        </w:tc>
        <w:tc>
          <w:tcPr>
            <w:tcW w:w="3175" w:type="dxa"/>
            <w:shd w:val="clear" w:color="auto" w:fill="3F6FB5"/>
          </w:tcPr>
          <w:p>
            <w:pPr>
              <w:spacing w:after="0"/>
              <w:jc w:val="center"/>
            </w:pPr>
            <w:r>
              <w:rPr>
                <w:b/>
                <w:color w:val="FFFFFF"/>
                <w:sz w:val="16"/>
              </w:rPr>
              <w:t xml:space="preserve">Core question</w:t>
            </w:r>
          </w:p>
        </w:tc>
        <w:tc>
          <w:tcPr>
            <w:tcW w:w="3175" w:type="dxa"/>
            <w:shd w:val="clear" w:color="auto" w:fill="3F6FB5"/>
          </w:tcPr>
          <w:p>
            <w:pPr>
              <w:spacing w:after="0"/>
              <w:jc w:val="center"/>
            </w:pPr>
            <w:r>
              <w:rPr>
                <w:b/>
                <w:color w:val="FFFFFF"/>
                <w:sz w:val="16"/>
              </w:rPr>
              <w:t xml:space="preserve">Example metric</w:t>
            </w:r>
          </w:p>
        </w:tc>
      </w:tr>
      <w:tr>
        <w:trPr>
          <w:jc w:val="center"/>
        </w:trPr>
        <w:tc>
          <w:tcPr>
            <w:tcW w:w="3175" w:type="dxa"/>
            <w:vAlign w:val="center"/>
          </w:tcPr>
          <w:p>
            <w:pPr>
              <w:spacing w:after="0"/>
            </w:pPr>
            <w:r>
              <w:rPr>
                <w:color w:val="111111"/>
                <w:sz w:val="16"/>
              </w:rPr>
              <w:t xml:space="preserve">Functional testing</w:t>
            </w:r>
          </w:p>
        </w:tc>
        <w:tc>
          <w:tcPr>
            <w:tcW w:w="3175" w:type="dxa"/>
            <w:vAlign w:val="center"/>
          </w:tcPr>
          <w:p>
            <w:pPr>
              <w:spacing w:after="0"/>
            </w:pPr>
            <w:r>
              <w:rPr>
                <w:color w:val="111111"/>
                <w:sz w:val="16"/>
              </w:rPr>
              <w:t xml:space="preserve">Does every feature operate as specified?</w:t>
            </w:r>
          </w:p>
        </w:tc>
        <w:tc>
          <w:tcPr>
            <w:tcW w:w="3175" w:type="dxa"/>
            <w:vAlign w:val="center"/>
          </w:tcPr>
          <w:p>
            <w:pPr>
              <w:spacing w:after="0"/>
            </w:pPr>
            <w:r>
              <w:rPr>
                <w:color w:val="111111"/>
                <w:sz w:val="16"/>
              </w:rPr>
              <w:t xml:space="preserve">Pass rate and crash frequency</w:t>
            </w:r>
          </w:p>
        </w:tc>
      </w:tr>
      <w:tr>
        <w:trPr>
          <w:jc w:val="center"/>
        </w:trPr>
        <w:tc>
          <w:tcPr>
            <w:tcW w:w="3175" w:type="dxa"/>
            <w:vAlign w:val="center"/>
          </w:tcPr>
          <w:p>
            <w:pPr>
              <w:spacing w:after="0"/>
            </w:pPr>
            <w:r>
              <w:rPr>
                <w:color w:val="111111"/>
                <w:sz w:val="16"/>
              </w:rPr>
              <w:t xml:space="preserve">AR performance</w:t>
            </w:r>
          </w:p>
        </w:tc>
        <w:tc>
          <w:tcPr>
            <w:tcW w:w="3175" w:type="dxa"/>
            <w:vAlign w:val="center"/>
          </w:tcPr>
          <w:p>
            <w:pPr>
              <w:spacing w:after="0"/>
            </w:pPr>
            <w:r>
              <w:rPr>
                <w:color w:val="111111"/>
                <w:sz w:val="16"/>
              </w:rPr>
              <w:t xml:space="preserve">Is tracking and rendering stable?</w:t>
            </w:r>
          </w:p>
        </w:tc>
        <w:tc>
          <w:tcPr>
            <w:tcW w:w="3175" w:type="dxa"/>
            <w:vAlign w:val="center"/>
          </w:tcPr>
          <w:p>
            <w:pPr>
              <w:spacing w:after="0"/>
            </w:pPr>
            <w:r>
              <w:rPr>
                <w:color w:val="111111"/>
                <w:sz w:val="16"/>
              </w:rPr>
              <w:t xml:space="preserve">Detection rate, drift, and frame rate</w:t>
            </w:r>
          </w:p>
        </w:tc>
      </w:tr>
      <w:tr>
        <w:trPr>
          <w:jc w:val="center"/>
        </w:trPr>
        <w:tc>
          <w:tcPr>
            <w:tcW w:w="3175" w:type="dxa"/>
            <w:vAlign w:val="center"/>
          </w:tcPr>
          <w:p>
            <w:pPr>
              <w:spacing w:after="0"/>
            </w:pPr>
            <w:r>
              <w:rPr>
                <w:color w:val="111111"/>
                <w:sz w:val="16"/>
              </w:rPr>
              <w:t xml:space="preserve">Task usability</w:t>
            </w:r>
          </w:p>
        </w:tc>
        <w:tc>
          <w:tcPr>
            <w:tcW w:w="3175" w:type="dxa"/>
            <w:vAlign w:val="center"/>
          </w:tcPr>
          <w:p>
            <w:pPr>
              <w:spacing w:after="0"/>
            </w:pPr>
            <w:r>
              <w:rPr>
                <w:color w:val="111111"/>
                <w:sz w:val="16"/>
              </w:rPr>
              <w:t xml:space="preserve">Can users complete activities efficiently?</w:t>
            </w:r>
          </w:p>
        </w:tc>
        <w:tc>
          <w:tcPr>
            <w:tcW w:w="3175" w:type="dxa"/>
            <w:vAlign w:val="center"/>
          </w:tcPr>
          <w:p>
            <w:pPr>
              <w:spacing w:after="0"/>
            </w:pPr>
            <w:r>
              <w:rPr>
                <w:color w:val="111111"/>
                <w:sz w:val="16"/>
              </w:rPr>
              <w:t xml:space="preserve">Completion, time, and errors</w:t>
            </w:r>
          </w:p>
        </w:tc>
      </w:tr>
      <w:tr>
        <w:trPr>
          <w:jc w:val="center"/>
        </w:trPr>
        <w:tc>
          <w:tcPr>
            <w:tcW w:w="3175" w:type="dxa"/>
            <w:vAlign w:val="center"/>
          </w:tcPr>
          <w:p>
            <w:pPr>
              <w:spacing w:after="0"/>
            </w:pPr>
            <w:r>
              <w:rPr>
                <w:color w:val="111111"/>
                <w:sz w:val="16"/>
              </w:rPr>
              <w:t xml:space="preserve">Perceived usability</w:t>
            </w:r>
          </w:p>
        </w:tc>
        <w:tc>
          <w:tcPr>
            <w:tcW w:w="3175" w:type="dxa"/>
            <w:vAlign w:val="center"/>
          </w:tcPr>
          <w:p>
            <w:pPr>
              <w:spacing w:after="0"/>
            </w:pPr>
            <w:r>
              <w:rPr>
                <w:color w:val="111111"/>
                <w:sz w:val="16"/>
              </w:rPr>
              <w:t xml:space="preserve">Is the system acceptable and learnable?</w:t>
            </w:r>
          </w:p>
        </w:tc>
        <w:tc>
          <w:tcPr>
            <w:tcW w:w="3175" w:type="dxa"/>
            <w:vAlign w:val="center"/>
          </w:tcPr>
          <w:p>
            <w:pPr>
              <w:spacing w:after="0"/>
            </w:pPr>
            <w:r>
              <w:rPr>
                <w:color w:val="111111"/>
                <w:sz w:val="16"/>
              </w:rPr>
              <w:t xml:space="preserve">SUS score and interview themes</w:t>
            </w:r>
          </w:p>
        </w:tc>
      </w:tr>
      <w:tr>
        <w:trPr>
          <w:jc w:val="center"/>
        </w:trPr>
        <w:tc>
          <w:tcPr>
            <w:tcW w:w="3175" w:type="dxa"/>
            <w:vAlign w:val="center"/>
          </w:tcPr>
          <w:p>
            <w:pPr>
              <w:spacing w:after="0"/>
            </w:pPr>
            <w:r>
              <w:rPr>
                <w:color w:val="111111"/>
                <w:sz w:val="16"/>
              </w:rPr>
              <w:t xml:space="preserve">Field deployment</w:t>
            </w:r>
          </w:p>
        </w:tc>
        <w:tc>
          <w:tcPr>
            <w:tcW w:w="3175" w:type="dxa"/>
            <w:vAlign w:val="center"/>
          </w:tcPr>
          <w:p>
            <w:pPr>
              <w:spacing w:after="0"/>
            </w:pPr>
            <w:r>
              <w:rPr>
                <w:color w:val="111111"/>
                <w:sz w:val="16"/>
              </w:rPr>
              <w:t xml:space="preserve">Does performance remain stable in class?</w:t>
            </w:r>
          </w:p>
        </w:tc>
        <w:tc>
          <w:tcPr>
            <w:tcW w:w="3175" w:type="dxa"/>
            <w:vAlign w:val="center"/>
          </w:tcPr>
          <w:p>
            <w:pPr>
              <w:spacing w:after="0"/>
            </w:pPr>
            <w:r>
              <w:rPr>
                <w:color w:val="111111"/>
                <w:sz w:val="16"/>
              </w:rPr>
              <w:t xml:space="preserve">Device coverage and incident log</w:t>
            </w:r>
          </w:p>
        </w:tc>
      </w:tr>
    </w:tbl>
    <w:p>
      <w:pPr>
        <w:spacing w:after="120"/>
      </w:pPr>
    </w:p>
    <w:p>
      <w:pPr>
        <w:spacing w:after="120"/>
        <w:jc w:val="both"/>
      </w:pPr>
      <w:r>
        <w:t xml:space="preserve">A validation report should publish the complete test configuration, including device models, operating-system versions, tracking-library versions, lighting conditions, and any unsuccessful trials. Acceptance criteria should be set before examining final results wherever feasible, which reduces the temptation to redefine success around whichever outcome was observed.</w:t>
      </w:r>
    </w:p>
    <w:p>
      <w:pPr>
        <w:pStyle w:val="JASTEH1"/>
      </w:pPr>
      <w:r>
        <w:t>6. RISK, ETHICS, PRIVACY, AND GOVERNANCE</w:t>
      </w:r>
    </w:p>
    <w:p>
      <w:pPr>
        <w:spacing w:after="120"/>
        <w:jc w:val="both"/>
      </w:pPr>
      <w:r>
        <w:t xml:space="preserve">The principal risks for an AR civic-education application include unstable tracking on heterogeneous devices, excessive cognitive load from poorly integrated visual layers, interaction patterns that exclude learners with visual, motor, or auditory differences, and inadequate protection of camera imagery, location data, or learner performance records. These risks should be entered in a living register with a cause, affected component, likely consequence, existing control, residual severity, monitoring signal, and accountable owner, reviewed before each classroom deployment and whenever evidence shows a new failure pattern.</w:t>
      </w:r>
    </w:p>
    <w:p>
      <w:pPr>
        <w:spacing w:after="120"/>
        <w:jc w:val="both"/>
      </w:pPr>
      <w:r>
        <w:t xml:space="preserve">Privacy protection starts with data minimization and purpose limitation. Camera frames used for tracking should be processed locally where feasible rather than transmitted or stored, location data should be limited to what the civic scenario requires, and retention periods for interaction logs and assessment records should be explicit and disclosed to schools, learners, and guardians (National Institute of Standards and Technology [NIST], 2020). Because most learners in secondary civic-education contexts are minors, consent and disclosure procedures should follow applicable institutional and national requirements for children's educational data in addition to general privacy-by-design principles.</w:t>
      </w:r>
    </w:p>
    <w:p>
      <w:pPr>
        <w:spacing w:after="120"/>
        <w:jc w:val="both"/>
      </w:pPr>
      <w:r>
        <w:t xml:space="preserve">Governance must define who can change tracking thresholds, content assets, interface wording, and escalation rules within a school deployment, and material changes should require documented testing before redistribution to classrooms. Ethical review should focus on foreseeable effects on learners rather than only on formal consent: exclusion of students without compatible devices, unequal engagement between students who find AR interaction intuitive and those who do not, and the risk that novelty overshadows civic content are relevant even when data collection is technically lawful.</w:t>
      </w:r>
    </w:p>
    <w:p>
      <w:pPr>
        <w:jc w:val="center"/>
      </w:pPr>
      <w:r>
        <w:rPr>
          <w:b/>
          <w:color w:val="111111"/>
          <w:sz w:val="20"/>
        </w:rPr>
        <w:t>Table 4. Risk-Control Register</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175"/>
        <w:gridCol w:w="3175"/>
        <w:gridCol w:w="3175"/>
      </w:tblGrid>
      <w:tr>
        <w:trPr>
          <w:jc w:val="center"/>
        </w:trPr>
        <w:tc>
          <w:tcPr>
            <w:tcW w:w="3175" w:type="dxa"/>
            <w:shd w:val="clear" w:color="auto" w:fill="3F6FB5"/>
          </w:tcPr>
          <w:p>
            <w:pPr>
              <w:spacing w:after="0"/>
              <w:jc w:val="center"/>
            </w:pPr>
            <w:r>
              <w:rPr>
                <w:b/>
                <w:color w:val="FFFFFF"/>
                <w:sz w:val="16"/>
              </w:rPr>
              <w:t xml:space="preserve">Risk category</w:t>
            </w:r>
          </w:p>
        </w:tc>
        <w:tc>
          <w:tcPr>
            <w:tcW w:w="3175" w:type="dxa"/>
            <w:shd w:val="clear" w:color="auto" w:fill="3F6FB5"/>
          </w:tcPr>
          <w:p>
            <w:pPr>
              <w:spacing w:after="0"/>
              <w:jc w:val="center"/>
            </w:pPr>
            <w:r>
              <w:rPr>
                <w:b/>
                <w:color w:val="FFFFFF"/>
                <w:sz w:val="16"/>
              </w:rPr>
              <w:t xml:space="preserve">Preventive control</w:t>
            </w:r>
          </w:p>
        </w:tc>
        <w:tc>
          <w:tcPr>
            <w:tcW w:w="3175" w:type="dxa"/>
            <w:shd w:val="clear" w:color="auto" w:fill="3F6FB5"/>
          </w:tcPr>
          <w:p>
            <w:pPr>
              <w:spacing w:after="0"/>
              <w:jc w:val="center"/>
            </w:pPr>
            <w:r>
              <w:rPr>
                <w:b/>
                <w:color w:val="FFFFFF"/>
                <w:sz w:val="16"/>
              </w:rPr>
              <w:t xml:space="preserve">Monitoring evidence</w:t>
            </w:r>
          </w:p>
        </w:tc>
      </w:tr>
      <w:tr>
        <w:trPr>
          <w:jc w:val="center"/>
        </w:trPr>
        <w:tc>
          <w:tcPr>
            <w:tcW w:w="3175" w:type="dxa"/>
            <w:vAlign w:val="center"/>
          </w:tcPr>
          <w:p>
            <w:pPr>
              <w:spacing w:after="0"/>
            </w:pPr>
            <w:r>
              <w:rPr>
                <w:color w:val="111111"/>
                <w:sz w:val="16"/>
              </w:rPr>
              <w:t xml:space="preserve">Tracking instability</w:t>
            </w:r>
          </w:p>
        </w:tc>
        <w:tc>
          <w:tcPr>
            <w:tcW w:w="3175" w:type="dxa"/>
            <w:vAlign w:val="center"/>
          </w:tcPr>
          <w:p>
            <w:pPr>
              <w:spacing w:after="0"/>
            </w:pPr>
            <w:r>
              <w:rPr>
                <w:color w:val="111111"/>
                <w:sz w:val="16"/>
              </w:rPr>
              <w:t xml:space="preserve">Fallback content, device testing</w:t>
            </w:r>
          </w:p>
        </w:tc>
        <w:tc>
          <w:tcPr>
            <w:tcW w:w="3175" w:type="dxa"/>
            <w:vAlign w:val="center"/>
          </w:tcPr>
          <w:p>
            <w:pPr>
              <w:spacing w:after="0"/>
            </w:pPr>
            <w:r>
              <w:rPr>
                <w:color w:val="111111"/>
                <w:sz w:val="16"/>
              </w:rPr>
              <w:t xml:space="preserve">Detection-rate and drift logs</w:t>
            </w:r>
          </w:p>
        </w:tc>
      </w:tr>
      <w:tr>
        <w:trPr>
          <w:jc w:val="center"/>
        </w:trPr>
        <w:tc>
          <w:tcPr>
            <w:tcW w:w="3175" w:type="dxa"/>
            <w:vAlign w:val="center"/>
          </w:tcPr>
          <w:p>
            <w:pPr>
              <w:spacing w:after="0"/>
            </w:pPr>
            <w:r>
              <w:rPr>
                <w:color w:val="111111"/>
                <w:sz w:val="16"/>
              </w:rPr>
              <w:t xml:space="preserve">Cognitive overload</w:t>
            </w:r>
          </w:p>
        </w:tc>
        <w:tc>
          <w:tcPr>
            <w:tcW w:w="3175" w:type="dxa"/>
            <w:vAlign w:val="center"/>
          </w:tcPr>
          <w:p>
            <w:pPr>
              <w:spacing w:after="0"/>
            </w:pPr>
            <w:r>
              <w:rPr>
                <w:color w:val="111111"/>
                <w:sz w:val="16"/>
              </w:rPr>
              <w:t xml:space="preserve">Signaling, spatial contiguity in design</w:t>
            </w:r>
          </w:p>
        </w:tc>
        <w:tc>
          <w:tcPr>
            <w:tcW w:w="3175" w:type="dxa"/>
            <w:vAlign w:val="center"/>
          </w:tcPr>
          <w:p>
            <w:pPr>
              <w:spacing w:after="0"/>
            </w:pPr>
            <w:r>
              <w:rPr>
                <w:color w:val="111111"/>
                <w:sz w:val="16"/>
              </w:rPr>
              <w:t xml:space="preserve">Task-completion and error patterns</w:t>
            </w:r>
          </w:p>
        </w:tc>
      </w:tr>
      <w:tr>
        <w:trPr>
          <w:jc w:val="center"/>
        </w:trPr>
        <w:tc>
          <w:tcPr>
            <w:tcW w:w="3175" w:type="dxa"/>
            <w:vAlign w:val="center"/>
          </w:tcPr>
          <w:p>
            <w:pPr>
              <w:spacing w:after="0"/>
            </w:pPr>
            <w:r>
              <w:rPr>
                <w:color w:val="111111"/>
                <w:sz w:val="16"/>
              </w:rPr>
              <w:t xml:space="preserve">Accessibility exclusion</w:t>
            </w:r>
          </w:p>
        </w:tc>
        <w:tc>
          <w:tcPr>
            <w:tcW w:w="3175" w:type="dxa"/>
            <w:vAlign w:val="center"/>
          </w:tcPr>
          <w:p>
            <w:pPr>
              <w:spacing w:after="0"/>
            </w:pPr>
            <w:r>
              <w:rPr>
                <w:color w:val="111111"/>
                <w:sz w:val="16"/>
              </w:rPr>
              <w:t xml:space="preserve">Non-AR fallback, WCAG-aligned controls</w:t>
            </w:r>
          </w:p>
        </w:tc>
        <w:tc>
          <w:tcPr>
            <w:tcW w:w="3175" w:type="dxa"/>
            <w:vAlign w:val="center"/>
          </w:tcPr>
          <w:p>
            <w:pPr>
              <w:spacing w:after="0"/>
            </w:pPr>
            <w:r>
              <w:rPr>
                <w:color w:val="111111"/>
                <w:sz w:val="16"/>
              </w:rPr>
              <w:t xml:space="preserve">Usage by assistive-technology users</w:t>
            </w:r>
          </w:p>
        </w:tc>
      </w:tr>
      <w:tr>
        <w:trPr>
          <w:jc w:val="center"/>
        </w:trPr>
        <w:tc>
          <w:tcPr>
            <w:tcW w:w="3175" w:type="dxa"/>
            <w:vAlign w:val="center"/>
          </w:tcPr>
          <w:p>
            <w:pPr>
              <w:spacing w:after="0"/>
            </w:pPr>
            <w:r>
              <w:rPr>
                <w:color w:val="111111"/>
                <w:sz w:val="16"/>
              </w:rPr>
              <w:t xml:space="preserve">Data and privacy</w:t>
            </w:r>
          </w:p>
        </w:tc>
        <w:tc>
          <w:tcPr>
            <w:tcW w:w="3175" w:type="dxa"/>
            <w:vAlign w:val="center"/>
          </w:tcPr>
          <w:p>
            <w:pPr>
              <w:spacing w:after="0"/>
            </w:pPr>
            <w:r>
              <w:rPr>
                <w:color w:val="111111"/>
                <w:sz w:val="16"/>
              </w:rPr>
              <w:t xml:space="preserve">Minimization, local processing, consent</w:t>
            </w:r>
          </w:p>
        </w:tc>
        <w:tc>
          <w:tcPr>
            <w:tcW w:w="3175" w:type="dxa"/>
            <w:vAlign w:val="center"/>
          </w:tcPr>
          <w:p>
            <w:pPr>
              <w:spacing w:after="0"/>
            </w:pPr>
            <w:r>
              <w:rPr>
                <w:color w:val="111111"/>
                <w:sz w:val="16"/>
              </w:rPr>
              <w:t xml:space="preserve">Access and retention audit records</w:t>
            </w:r>
          </w:p>
        </w:tc>
      </w:tr>
    </w:tbl>
    <w:p>
      <w:pPr>
        <w:spacing w:after="120"/>
      </w:pPr>
    </w:p>
    <w:p>
      <w:pPr>
        <w:spacing w:after="120"/>
        <w:jc w:val="both"/>
      </w:pPr>
      <w:r>
        <w:t xml:space="preserve">Residual risk should be accepted only by a named school or institutional authority with access to the supporting evidence. Controls that depend on people—such as teacher supervision during AR activities—need realistic capacity estimates, since a single teacher may be unable to assist many students experiencing simultaneous tracking difficulties. Controls that depend on technology need monitoring and a defined fallback so that a class session does not stall when tracking fails for a subset of devices.</w:t>
      </w:r>
    </w:p>
    <w:p>
      <w:pPr>
        <w:pStyle w:val="JASTEH2"/>
      </w:pPr>
      <w:r>
        <w:t>6.1 DETAILED ENGINEERING CONSIDERATIONS</w:t>
      </w:r>
    </w:p>
    <w:p>
      <w:pPr>
        <w:spacing w:after="120"/>
        <w:jc w:val="both"/>
      </w:pPr>
      <w:r>
        <w:t xml:space="preserve">Requirements traceability should begin with a matrix linking the stated purpose of the application to content elements, tracking functions, interface behavior, validation measures, and responsible roles; a requirement is incomplete when it names a feature but not the condition under which it must operate. The input specification should distinguish raw camera and sensor observations, derived tracking states such as marker-confidence scores, and learner interaction records, each with a definition, allowable range, and quality flag, since treating tracking confidence as informal debugging output makes it difficult to explain why similar sessions produced different outcomes.</w:t>
      </w:r>
    </w:p>
    <w:p>
      <w:pPr>
        <w:spacing w:after="120"/>
        <w:jc w:val="both"/>
      </w:pPr>
      <w:r>
        <w:t xml:space="preserve">A modular architecture is preferable because tracking libraries, rendering engines, and device hardware evolve at different rates; modules should expose status codes rather than hide failures behind default content. Content and interaction features should likewise be justified by the civic-learning objective rather than novelty alone, with stability analysis and review by civic-education specialists determining whether a proposed interaction contributes useful learning support.</w:t>
      </w:r>
    </w:p>
    <w:p>
      <w:pPr>
        <w:spacing w:after="120"/>
        <w:jc w:val="both"/>
      </w:pPr>
      <w:r>
        <w:t xml:space="preserve">Uncertainty in tracking should be represented explicitly rather than resolved silently. Poor lighting, occluded markers, or an unfamiliar physical environment can all reduce tracking confidence, and the application should define when this produces an on-screen prompt to rescan, when it switches to a non-AR fallback, and when it should simply wait. Threshold settings for these transitions should follow the consequences of error—an incorrect civic scenario rendered by a false positive has a different cost than a delayed overlay caused by a false negative—and should be reviewed with civic-education domain experts rather than fixed once during initial development.</w:t>
      </w:r>
    </w:p>
    <w:p>
      <w:pPr>
        <w:spacing w:after="120"/>
        <w:jc w:val="both"/>
      </w:pPr>
      <w:r>
        <w:t xml:space="preserve">Human review remains central because teachers, not the application alone, are responsible for the classroom outcome. Teachers need a defined role, visibility into which students are experiencing tracking difficulty, and the authority to switch a class to a non-AR fallback without penalty. Explanation design should answer practical questions for two audiences: what status the student is seeing and what to do next, and what diagnostic information staff need when a class-wide problem occurs (Nielsen, 1994).</w:t>
      </w:r>
    </w:p>
    <w:p>
      <w:pPr>
        <w:spacing w:after="120"/>
        <w:jc w:val="both"/>
      </w:pPr>
      <w:r>
        <w:t xml:space="preserve">The audit trail should support reconstruction of a session after the fact, including device identifiers, content-package and tracking-library versions, timestamps, and any teacher override, retained only as long as necessary for incident investigation. Security analysis should adopt a threat model covering unauthorized access to camera or location data, tampering with content packages, spoofed markers, and vulnerabilities in third-party AR software development kits.</w:t>
      </w:r>
    </w:p>
    <w:p>
      <w:pPr>
        <w:spacing w:after="120"/>
        <w:jc w:val="both"/>
      </w:pPr>
      <w:r>
        <w:t xml:space="preserve">Performance monitoring after deployment should track detection rate, frame rate, crash rate, and SUS trends against reference ranges with predefined alert thresholds, understanding the cause of any shift before the deployed application is modified. Subgroup analysis by device tier, screen size, connectivity quality, and accessibility need should be planned before a field evaluation begins, since small subgroups should not be omitted simply because their estimates are less precise.</w:t>
      </w:r>
    </w:p>
    <w:p>
      <w:pPr>
        <w:spacing w:after="120"/>
        <w:jc w:val="both"/>
      </w:pPr>
      <w:r>
        <w:t xml:space="preserve">Operational resilience requires graceful degradation when connectivity, camera access, or tracking services are unavailable, preserving queued data safely and providing a workable non-AR path so a lesson does not stall for the whole class. A staged implementation—offline verification, sandbox testing, a limited pilot, supervised operation, and broader release only after predefined criteria are met—remains necessary because tracking reliability cannot be fully assessed from a single laboratory demonstration, and each stage should produce a decision record.</w:t>
      </w:r>
    </w:p>
    <w:p>
      <w:pPr>
        <w:pStyle w:val="JASTEH1"/>
      </w:pPr>
      <w:r>
        <w:t>7. IMPLEMENTATION AND OPERATIONAL ROADMAP</w:t>
      </w:r>
    </w:p>
    <w:p>
      <w:pPr>
        <w:spacing w:after="120"/>
        <w:jc w:val="both"/>
      </w:pPr>
      <w:r>
        <w:t xml:space="preserve">The proposed deployment model is a versioned AR content package with tracking-performance monitoring, teacher feedback channels, audit logs, and scheduled review of device compatibility as new hardware becomes available in target schools. Implementation should proceed from offline verification to a limited classroom pilot, supervised classroom use, and only then broader school or district release, with entry and exit criteria at each stage covering technical performance, usability, teacher training, support capacity, and unresolved risks.</w:t>
      </w:r>
    </w:p>
    <w:p>
      <w:pPr>
        <w:spacing w:after="120"/>
        <w:jc w:val="both"/>
      </w:pPr>
      <w:r>
        <w:t xml:space="preserve">Operational monitoring should distinguish application health—crash rate, load time, tracking detection rate, and battery use—from learning-relevant quality, such as task completion, SUS trends, teacher-reported confusion, and accessibility complaints. Both categories require simple dashboards accessible to school information-technology staff and predefined thresholds for escalation to the development team.</w:t>
      </w:r>
    </w:p>
    <w:p>
      <w:pPr>
        <w:jc w:val="center"/>
      </w:pPr>
      <w:r>
        <w:rPr>
          <w:b/>
          <w:color w:val="111111"/>
          <w:sz w:val="20"/>
        </w:rPr>
        <w:t>Table 5. Staged Implementation Roadmap</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175"/>
        <w:gridCol w:w="3175"/>
        <w:gridCol w:w="3175"/>
      </w:tblGrid>
      <w:tr>
        <w:trPr>
          <w:jc w:val="center"/>
        </w:trPr>
        <w:tc>
          <w:tcPr>
            <w:tcW w:w="3175" w:type="dxa"/>
            <w:shd w:val="clear" w:color="auto" w:fill="3F6FB5"/>
          </w:tcPr>
          <w:p>
            <w:pPr>
              <w:spacing w:after="0"/>
              <w:jc w:val="center"/>
            </w:pPr>
            <w:r>
              <w:rPr>
                <w:b/>
                <w:color w:val="FFFFFF"/>
                <w:sz w:val="16"/>
              </w:rPr>
              <w:t xml:space="preserve">Stage</w:t>
            </w:r>
          </w:p>
        </w:tc>
        <w:tc>
          <w:tcPr>
            <w:tcW w:w="3175" w:type="dxa"/>
            <w:shd w:val="clear" w:color="auto" w:fill="3F6FB5"/>
          </w:tcPr>
          <w:p>
            <w:pPr>
              <w:spacing w:after="0"/>
              <w:jc w:val="center"/>
            </w:pPr>
            <w:r>
              <w:rPr>
                <w:b/>
                <w:color w:val="FFFFFF"/>
                <w:sz w:val="16"/>
              </w:rPr>
              <w:t xml:space="preserve">Purpose</w:t>
            </w:r>
          </w:p>
        </w:tc>
        <w:tc>
          <w:tcPr>
            <w:tcW w:w="3175" w:type="dxa"/>
            <w:shd w:val="clear" w:color="auto" w:fill="3F6FB5"/>
          </w:tcPr>
          <w:p>
            <w:pPr>
              <w:spacing w:after="0"/>
              <w:jc w:val="center"/>
            </w:pPr>
            <w:r>
              <w:rPr>
                <w:b/>
                <w:color w:val="FFFFFF"/>
                <w:sz w:val="16"/>
              </w:rPr>
              <w:t xml:space="preserve">Exit criterion</w:t>
            </w:r>
          </w:p>
        </w:tc>
      </w:tr>
      <w:tr>
        <w:trPr>
          <w:jc w:val="center"/>
        </w:trPr>
        <w:tc>
          <w:tcPr>
            <w:tcW w:w="3175" w:type="dxa"/>
            <w:vAlign w:val="center"/>
          </w:tcPr>
          <w:p>
            <w:pPr>
              <w:spacing w:after="0"/>
            </w:pPr>
            <w:r>
              <w:rPr>
                <w:color w:val="111111"/>
                <w:sz w:val="16"/>
              </w:rPr>
              <w:t xml:space="preserve">Offline verification</w:t>
            </w:r>
          </w:p>
        </w:tc>
        <w:tc>
          <w:tcPr>
            <w:tcW w:w="3175" w:type="dxa"/>
            <w:vAlign w:val="center"/>
          </w:tcPr>
          <w:p>
            <w:pPr>
              <w:spacing w:after="0"/>
            </w:pPr>
            <w:r>
              <w:rPr>
                <w:color w:val="111111"/>
                <w:sz w:val="16"/>
              </w:rPr>
              <w:t xml:space="preserve">Check component correctness and reproducibility</w:t>
            </w:r>
          </w:p>
        </w:tc>
        <w:tc>
          <w:tcPr>
            <w:tcW w:w="3175" w:type="dxa"/>
            <w:vAlign w:val="center"/>
          </w:tcPr>
          <w:p>
            <w:pPr>
              <w:spacing w:after="0"/>
            </w:pPr>
            <w:r>
              <w:rPr>
                <w:color w:val="111111"/>
                <w:sz w:val="16"/>
              </w:rPr>
              <w:t xml:space="preserve">Documented pass/fail evidence</w:t>
            </w:r>
          </w:p>
        </w:tc>
      </w:tr>
      <w:tr>
        <w:trPr>
          <w:jc w:val="center"/>
        </w:trPr>
        <w:tc>
          <w:tcPr>
            <w:tcW w:w="3175" w:type="dxa"/>
            <w:vAlign w:val="center"/>
          </w:tcPr>
          <w:p>
            <w:pPr>
              <w:spacing w:after="0"/>
            </w:pPr>
            <w:r>
              <w:rPr>
                <w:color w:val="111111"/>
                <w:sz w:val="16"/>
              </w:rPr>
              <w:t xml:space="preserve">Limited pilot</w:t>
            </w:r>
          </w:p>
        </w:tc>
        <w:tc>
          <w:tcPr>
            <w:tcW w:w="3175" w:type="dxa"/>
            <w:vAlign w:val="center"/>
          </w:tcPr>
          <w:p>
            <w:pPr>
              <w:spacing w:after="0"/>
            </w:pPr>
            <w:r>
              <w:rPr>
                <w:color w:val="111111"/>
                <w:sz w:val="16"/>
              </w:rPr>
              <w:t xml:space="preserve">Assess usability, tracking stability, and safety</w:t>
            </w:r>
          </w:p>
        </w:tc>
        <w:tc>
          <w:tcPr>
            <w:tcW w:w="3175" w:type="dxa"/>
            <w:vAlign w:val="center"/>
          </w:tcPr>
          <w:p>
            <w:pPr>
              <w:spacing w:after="0"/>
            </w:pPr>
            <w:r>
              <w:rPr>
                <w:color w:val="111111"/>
                <w:sz w:val="16"/>
              </w:rPr>
              <w:t xml:space="preserve">Resolved critical issues</w:t>
            </w:r>
          </w:p>
        </w:tc>
      </w:tr>
      <w:tr>
        <w:trPr>
          <w:jc w:val="center"/>
        </w:trPr>
        <w:tc>
          <w:tcPr>
            <w:tcW w:w="3175" w:type="dxa"/>
            <w:vAlign w:val="center"/>
          </w:tcPr>
          <w:p>
            <w:pPr>
              <w:spacing w:after="0"/>
            </w:pPr>
            <w:r>
              <w:rPr>
                <w:color w:val="111111"/>
                <w:sz w:val="16"/>
              </w:rPr>
              <w:t xml:space="preserve">Supervised classroom use</w:t>
            </w:r>
          </w:p>
        </w:tc>
        <w:tc>
          <w:tcPr>
            <w:tcW w:w="3175" w:type="dxa"/>
            <w:vAlign w:val="center"/>
          </w:tcPr>
          <w:p>
            <w:pPr>
              <w:spacing w:after="0"/>
            </w:pPr>
            <w:r>
              <w:rPr>
                <w:color w:val="111111"/>
                <w:sz w:val="16"/>
              </w:rPr>
              <w:t xml:space="preserve">Monitor real-world tracking and engagement</w:t>
            </w:r>
          </w:p>
        </w:tc>
        <w:tc>
          <w:tcPr>
            <w:tcW w:w="3175" w:type="dxa"/>
            <w:vAlign w:val="center"/>
          </w:tcPr>
          <w:p>
            <w:pPr>
              <w:spacing w:after="0"/>
            </w:pPr>
            <w:r>
              <w:rPr>
                <w:color w:val="111111"/>
                <w:sz w:val="16"/>
              </w:rPr>
              <w:t xml:space="preserve">Stable performance within boundary</w:t>
            </w:r>
          </w:p>
        </w:tc>
      </w:tr>
      <w:tr>
        <w:trPr>
          <w:jc w:val="center"/>
        </w:trPr>
        <w:tc>
          <w:tcPr>
            <w:tcW w:w="3175" w:type="dxa"/>
            <w:vAlign w:val="center"/>
          </w:tcPr>
          <w:p>
            <w:pPr>
              <w:spacing w:after="0"/>
            </w:pPr>
            <w:r>
              <w:rPr>
                <w:color w:val="111111"/>
                <w:sz w:val="16"/>
              </w:rPr>
              <w:t xml:space="preserve">Scaled deployment</w:t>
            </w:r>
          </w:p>
        </w:tc>
        <w:tc>
          <w:tcPr>
            <w:tcW w:w="3175" w:type="dxa"/>
            <w:vAlign w:val="center"/>
          </w:tcPr>
          <w:p>
            <w:pPr>
              <w:spacing w:after="0"/>
            </w:pPr>
            <w:r>
              <w:rPr>
                <w:color w:val="111111"/>
                <w:sz w:val="16"/>
              </w:rPr>
              <w:t xml:space="preserve">Expand only with support capacity</w:t>
            </w:r>
          </w:p>
        </w:tc>
        <w:tc>
          <w:tcPr>
            <w:tcW w:w="3175" w:type="dxa"/>
            <w:vAlign w:val="center"/>
          </w:tcPr>
          <w:p>
            <w:pPr>
              <w:spacing w:after="0"/>
            </w:pPr>
            <w:r>
              <w:rPr>
                <w:color w:val="111111"/>
                <w:sz w:val="16"/>
              </w:rPr>
              <w:t xml:space="preserve">Approved monitoring and incident plan</w:t>
            </w:r>
          </w:p>
        </w:tc>
      </w:tr>
    </w:tbl>
    <w:p>
      <w:pPr>
        <w:spacing w:after="120"/>
      </w:pPr>
    </w:p>
    <w:p>
      <w:pPr>
        <w:spacing w:after="120"/>
        <w:jc w:val="both"/>
      </w:pPr>
      <w:r>
        <w:t xml:space="preserve">Support capacity should be assessed realistically before scaling beyond a pilot. A school with limited technical staff may be unable to resolve device-specific tracking problems quickly, which argues for a conservative device-compatibility list and a well-documented non-AR fallback rather than an assumption that all reported hardware will perform equivalently.</w:t>
      </w:r>
    </w:p>
    <w:p>
      <w:pPr>
        <w:pStyle w:val="JASTEH1"/>
      </w:pPr>
      <w:r>
        <w:t>8. DISCUSSION</w:t>
      </w:r>
    </w:p>
    <w:p>
      <w:pPr>
        <w:spacing w:after="120"/>
        <w:jc w:val="both"/>
      </w:pPr>
      <w:r>
        <w:t xml:space="preserve">The framework shifts the contribution from merely 'using AR in education' to designing and validating a defined technical system, since a positive attitude score cannot compensate for unreported tracking failures or incompatible devices. Research shows AR can support learning, but the size and consistency of benefits depend on instructional design, technical implementation, learner characteristics, and evaluation quality (Garzón et al., 2019; Radu, 2014; Santos et al., 2014). A high SUS score demonstrates that an interface is learnable and efficient, not that civic understanding improved, and the two should be reported separately (Brooke, 1996; Davis, 1989).</w:t>
      </w:r>
    </w:p>
    <w:p>
      <w:pPr>
        <w:spacing w:after="120"/>
        <w:jc w:val="both"/>
      </w:pPr>
      <w:r>
        <w:t xml:space="preserve">Indonesian secondary and tertiary classrooms vary considerably in device availability, network reliability, and technical support capacity. A framework that assumes consistently high-end hardware risks producing findings that do not transfer to the settings where civic-education technology is most needed. Reporting device tiers and connectivity conditions alongside usability results, as recommended in Section 5, allows later adopters to judge whether prior findings apply to their own context.</w:t>
      </w:r>
    </w:p>
    <w:p>
      <w:pPr>
        <w:spacing w:after="120"/>
        <w:jc w:val="both"/>
      </w:pPr>
      <w:r>
        <w:t xml:space="preserve">Future studies should publish hardware and software specifications, test scripts, anonymized usability instruments, and failure cases, and compare marker-based against markerless approaches to identify the most reliable configuration for Indonesian schools. Designers should control extraneous information and split attention, since novel visual layers can increase cognitive load when signaling and spatial contiguity are weak (Mayer, 2021; Sweller, 1988), and field trials should assess both technical performance and task completion under realistic classroom conditions (Dunleavy et al., 2009).</w:t>
      </w:r>
    </w:p>
    <w:p>
      <w:pPr>
        <w:pStyle w:val="JASTEH1"/>
      </w:pPr>
      <w:r>
        <w:t>9. CONCLUSION</w:t>
      </w:r>
    </w:p>
    <w:p>
      <w:pPr>
        <w:spacing w:after="120"/>
        <w:jc w:val="both"/>
      </w:pPr>
      <w:r>
        <w:t xml:space="preserve">An AR civic-education application should be evaluated as both a learning medium and an engineered interactive system. The proposed framework integrates requirements, architecture, performance testing, usability, accessibility, privacy, and field validation. Applying these criteria will produce clearer technological contributions and improve reproducibility across educational settings, consistent with the broader evidence that educational AR requires an explicit connection among content, pedagogy, interaction design, and technical validation (Akçayır &amp; Akçayır, 2017; Cheng &amp; Tsai, 2013; Wu et al., 2013).</w:t>
      </w:r>
    </w:p>
    <w:p>
      <w:pPr>
        <w:spacing w:after="120"/>
        <w:jc w:val="both"/>
      </w:pPr>
      <w:r>
        <w:t xml:space="preserve">For publication, future empirical studies using this framework should replace proposed procedures with exact observed methods and results, including device samples, tracking-library versions, and complete usability-instrument scores, since a conceptual design article can guide implementation but only empirical evaluation can support claims about measured usability or learning benefit. For implementation, the recommended priority is a technically reliable and accessible system that teachers can trust before broader claims about civic-learning gains are pursued; automation can expand only after monitoring demonstrates stable tracking behavior, teachers understand fallback procedures, and privacy governance responds effectively to incidents, with readiness treated as an evidence threshold established through the staged roadmap in Section 7 rather than a fixed project deadline.</w:t>
      </w:r>
    </w:p>
    <w:p>
      <w:pPr>
        <w:spacing w:after="120"/>
        <w:jc w:val="both"/>
      </w:pPr>
      <w:r>
        <w:t xml:space="preserve">The framework aligns with established models of civic and citizenship education, which emphasize that civic learning occurs through students' interaction with their broader civic communities and not solely through formal classroom instruction (International Association for the Evaluation of Educational Achievement [IEA], 2022). An AR application that is technically reliable and well governed can extend this interaction into contextual, situated activities without substituting for the human and institutional relationships that civic education ultimately aims to strengthen.</w:t>
      </w:r>
    </w:p>
    <w:p w14:paraId="5B5F6794" w14:textId="77777777" w:rsidR="00E31D22" w:rsidRDefault="00066F89">
      <w:pPr>
        <w:pStyle w:val="JASTEH1"/>
      </w:pPr>
      <w:r>
        <w:t xml:space="preserve">AUTHOR CONTRIBUTIONS</w:t>
      </w:r>
    </w:p>
    <w:p w14:paraId="76157B4B" w14:textId="77777777" w:rsidR="00E31D22" w:rsidRDefault="00066F89">
      <w:pPr>
        <w:spacing w:after="120"/>
        <w:jc w:val="both"/>
      </w:pPr>
      <w:r>
        <w:rPr>
          <w:color w:val="111111"/>
        </w:rPr>
        <w:t>The listed author(s) are responsible for conceptualization, literature synthesis, framework development, writing, review, and approval of the final manuscript. Each author must verify this statement before publication.</w:t>
      </w:r>
    </w:p>
    <w:p w14:paraId="3127E6FB" w14:textId="77777777" w:rsidR="00E31D22" w:rsidRDefault="00066F89">
      <w:pPr>
        <w:pStyle w:val="JASTEH1"/>
      </w:pPr>
      <w:r>
        <w:t>FUNDING</w:t>
      </w:r>
    </w:p>
    <w:p w14:paraId="62D4F30A" w14:textId="77777777" w:rsidR="00E31D22" w:rsidRDefault="00066F89">
      <w:pPr>
        <w:spacing w:after="120"/>
        <w:jc w:val="both"/>
      </w:pPr>
      <w:r>
        <w:rPr>
          <w:color w:val="111111"/>
        </w:rPr>
        <w:t xml:space="preserve">This article received no external funding. Replace this statement if funding applies.</w:t>
      </w:r>
    </w:p>
    <w:p w14:paraId="1E7CA7E4" w14:textId="77777777" w:rsidR="00E31D22" w:rsidRDefault="00066F89">
      <w:pPr>
        <w:pStyle w:val="JASTEH1"/>
      </w:pPr>
      <w:r>
        <w:lastRenderedPageBreak/>
        <w:t>CONFLICTS OF INTEREST</w:t>
      </w:r>
    </w:p>
    <w:p w14:paraId="2F41A6D4" w14:textId="77777777" w:rsidR="00E31D22" w:rsidRDefault="00066F89">
      <w:pPr>
        <w:spacing w:after="120"/>
        <w:jc w:val="both"/>
      </w:pPr>
      <w:r>
        <w:rPr>
          <w:color w:val="111111"/>
        </w:rPr>
        <w:t>The author(s) declare no conflict of interest. Each author must verify this statement before publication.</w:t>
      </w:r>
    </w:p>
    <w:p w14:paraId="04A9D40F" w14:textId="77777777" w:rsidR="00E31D22" w:rsidRDefault="00066F89">
      <w:pPr>
        <w:pStyle w:val="JASTEH1"/>
      </w:pPr>
      <w:r>
        <w:t>DATA AVAILABILITY STATEMENT</w:t>
      </w:r>
    </w:p>
    <w:p w14:paraId="0238EA0B" w14:textId="77777777" w:rsidR="00E31D22" w:rsidRDefault="00066F89">
      <w:pPr>
        <w:spacing w:after="120"/>
        <w:jc w:val="both"/>
      </w:pPr>
      <w:r>
        <w:rPr>
          <w:color w:val="111111"/>
        </w:rPr>
        <w:t xml:space="preserve">No original dataset was generated because this article presents a conceptual technical review and design framework.</w:t>
      </w:r>
    </w:p>
    <w:p w14:paraId="5C774A03" w14:textId="77777777" w:rsidR="00E31D22" w:rsidRDefault="00066F89">
      <w:pPr>
        <w:pStyle w:val="JASTEH1"/>
      </w:pPr>
      <w:r>
        <w:t>REFERENCES</w:t>
      </w:r>
    </w:p>
    <w:p w14:paraId="675F40C3" w14:textId="77777777" w:rsidR="00E31D22" w:rsidRDefault="00066F89">
      <w:pPr>
        <w:keepLines/>
        <w:spacing w:after="60"/>
        <w:ind w:left="360" w:hanging="360"/>
      </w:pPr>
      <w:r>
        <w:t xml:space="preserve">Akçayır, M., &amp; Akçayır, G. (2017). Advantages and challenges associated with augmented reality for education: A systematic review of the literature. Educational Research Review, 20, 1–11. https://doi.org/10.1016/j.edurev.2016.11.002</w:t>
      </w:r>
    </w:p>
    <w:p w14:paraId="4C446A5B" w14:textId="77777777" w:rsidR="00E31D22" w:rsidRDefault="00066F89">
      <w:pPr>
        <w:keepLines/>
        <w:spacing w:after="60"/>
        <w:ind w:left="360" w:hanging="360"/>
      </w:pPr>
      <w:r>
        <w:t>Azuma, R. T. (1997). A survey of augmented reality. Presence: Teleoperators and Virtual Environments, 6(4), 355–385. https://doi.org/10.1162/pres.1997.6.4.355</w:t>
      </w:r>
    </w:p>
    <w:p w14:paraId="77B10603" w14:textId="77777777" w:rsidR="00E31D22" w:rsidRDefault="00066F89">
      <w:pPr>
        <w:keepLines/>
        <w:spacing w:after="60"/>
        <w:ind w:left="360" w:hanging="360"/>
      </w:pPr>
      <w:r>
        <w:t xml:space="preserve">Bangor, A., Kortum, P. T., &amp; Miller, J. T. (2008). An empirical evaluation of the System Usability Scale. International Journal of Human–Computer Interaction, 24(6), 574–594. https://doi.org/10.1080/10447310802205776</w:t>
      </w:r>
    </w:p>
    <w:p w14:paraId="5D40A2F0" w14:textId="77777777" w:rsidR="00E31D22" w:rsidRDefault="00066F89">
      <w:pPr>
        <w:keepLines/>
        <w:spacing w:after="60"/>
        <w:ind w:left="360" w:hanging="360"/>
      </w:pPr>
      <w:r>
        <w:t>Billinghurst, M., Clark, A., &amp; Lee, G. (2015). A survey of augmented reality. Foundations and Trends in Human–Computer Interaction, 8(2–3), 73–272. https://doi.org/10.1561/1100000049</w:t>
      </w:r>
    </w:p>
    <w:p w14:paraId="13B7C927" w14:textId="77777777" w:rsidR="00E31D22" w:rsidRDefault="00066F89">
      <w:pPr>
        <w:keepLines/>
        <w:spacing w:after="60"/>
        <w:ind w:left="360" w:hanging="360"/>
      </w:pPr>
      <w:r>
        <w:t>Brooke, J. (1996). SUS: A ‘quick and dirty’ usability scale. In P. W. Jordan, B. Thomas, B. A. Weerdmeester, &amp; I. L. McClelland (Eds.), Usability evaluation in industry (pp. 189–194). Taylor &amp; Francis.</w:t>
      </w:r>
    </w:p>
    <w:p w14:paraId="0CAC893B" w14:textId="77777777" w:rsidR="00E31D22" w:rsidRDefault="00066F89">
      <w:pPr>
        <w:keepLines/>
        <w:spacing w:after="60"/>
        <w:ind w:left="360" w:hanging="360"/>
      </w:pPr>
      <w:r>
        <w:t>Carmigniani, J., Furht, B., Anisetti, M., Ceravolo, P., Damiani, E., &amp; Ivkovic, M. (2011). Augmented reality technologies, systems and applications. Multimedia Tools and Applications, 51, 341–377. https://doi.org/10.1007/s11042-010-0660-6</w:t>
      </w:r>
    </w:p>
    <w:p w14:paraId="5219486A" w14:textId="77777777" w:rsidR="00E31D22" w:rsidRDefault="00066F89">
      <w:pPr>
        <w:keepLines/>
        <w:spacing w:after="60"/>
        <w:ind w:left="360" w:hanging="360"/>
      </w:pPr>
      <w:r>
        <w:t>Cheng, K.-H., &amp; Tsai, C.-C. (2013). Affordances of augmented reality in science learning: Suggestions for future research. Journal of Science Education and Technology, 22, 449–462. https://doi.org/10.1007/s10956-012-9405-9</w:t>
      </w:r>
    </w:p>
    <w:p w14:paraId="2EFBFC40" w14:textId="77777777" w:rsidR="00E31D22" w:rsidRDefault="00066F89">
      <w:pPr>
        <w:keepLines/>
        <w:spacing w:after="60"/>
        <w:ind w:left="360" w:hanging="360"/>
      </w:pPr>
      <w:r>
        <w:t>Davis, F. D. (1989). Perceived usefulness, perceived ease of use, and user acceptance of information technology. MIS Quarterly, 13(3), 319–340. https://doi.org/10.2307/249008</w:t>
      </w:r>
    </w:p>
    <w:p w14:paraId="1408F2C0" w14:textId="77777777" w:rsidR="00E31D22" w:rsidRDefault="00066F89">
      <w:pPr>
        <w:keepLines/>
        <w:spacing w:after="60"/>
        <w:ind w:left="360" w:hanging="360"/>
      </w:pPr>
      <w:r>
        <w:t>Dunleavy, M., Dede, C., &amp; Mitchell, R. (2009). Affordances and limitations of immersive participatory augmented reality simulations for teaching and learning. Journal of Science Education and Technology, 18, 7–22. https://doi.org/10.1007/s10956-008-9119-1</w:t>
      </w:r>
    </w:p>
    <w:p w14:paraId="36557EE0" w14:textId="77777777" w:rsidR="00E31D22" w:rsidRDefault="00066F89">
      <w:pPr>
        <w:keepLines/>
        <w:spacing w:after="60"/>
        <w:ind w:left="360" w:hanging="360"/>
      </w:pPr>
      <w:r>
        <w:t>Garzón, J., Pavón, J., &amp; Baldiris, S. (2019). Systematic review and meta-analysis of augmented reality in educational settings. Virtual Reality, 23, 447–459. https://doi.org/10.1007/s10055-019-00379-9</w:t>
      </w:r>
    </w:p>
    <w:p w14:paraId="08F12A06" w14:textId="77777777" w:rsidR="00E31D22" w:rsidRDefault="00066F89">
      <w:pPr>
        <w:keepLines/>
        <w:spacing w:after="60"/>
        <w:ind w:left="360" w:hanging="360"/>
      </w:pPr>
      <w:r>
        <w:t>Ibáñez, M.-B., &amp; Delgado-Kloos, C. (2018). Augmented reality for STEM learning: A systematic review. Computers &amp; Education, 123, 109–123. https://doi.org/10.1016/j.compedu.2018.05.002</w:t>
      </w:r>
    </w:p>
    <w:p>
      <w:pPr>
        <w:keepLines/>
        <w:spacing w:after="60"/>
        <w:ind w:left="360" w:hanging="360"/>
      </w:pPr>
      <w:r>
        <w:t>International Association for the Evaluation of Educational Achievement. (2022). IEA International Civic and Citizenship Education Study 2022 assessment framework. Springer. https://doi.org/10.1007/978-3-031-20113-4</w:t>
      </w:r>
    </w:p>
    <w:p>
      <w:pPr>
        <w:keepLines/>
        <w:spacing w:after="60"/>
        <w:ind w:left="360" w:hanging="360"/>
      </w:pPr>
      <w:r>
        <w:t>International Organization for Standardization. (2018). Ergonomics of human-system interaction—Part 11: Usability: Definitions and concepts (ISO Standard No. 9241-11:2018). https://www.iso.org/standard/63500.html</w:t>
      </w:r>
    </w:p>
    <w:p w14:paraId="5D2B168D" w14:textId="77777777" w:rsidR="00E31D22" w:rsidRDefault="00066F89">
      <w:pPr>
        <w:keepLines/>
        <w:spacing w:after="60"/>
        <w:ind w:left="360" w:hanging="360"/>
      </w:pPr>
      <w:r>
        <w:t>International Organization for Standardization &amp; International Electrotechnical Commission. (2011). Systems and software engineering—Systems and software quality requirements and evaluation (SQuaRE)—System and software quality models (ISO/IEC Standard No. 25010:2011).</w:t>
      </w:r>
    </w:p>
    <w:p w14:paraId="590D1635" w14:textId="77777777" w:rsidR="00E31D22" w:rsidRDefault="00066F89">
      <w:pPr>
        <w:keepLines/>
        <w:spacing w:after="60"/>
        <w:ind w:left="360" w:hanging="360"/>
      </w:pPr>
      <w:r>
        <w:t>Lewis, J. R. (2018). The System Usability Scale: Past, present, and future. International Journal of Human–Computer Interaction, 34(7), 577–590. https://doi.org/10.1080/10447318.2018.1455307</w:t>
      </w:r>
    </w:p>
    <w:p w14:paraId="6619DA2D" w14:textId="77777777" w:rsidR="00E31D22" w:rsidRDefault="00066F89">
      <w:pPr>
        <w:keepLines/>
        <w:spacing w:after="60"/>
        <w:ind w:left="360" w:hanging="360"/>
      </w:pPr>
      <w:r>
        <w:t>Mayer, R. E. (2021). Multimedia learning (3rd ed.). Cambridge University Press. https://doi.org/10.1017/9781316941355</w:t>
      </w:r>
    </w:p>
    <w:p>
      <w:pPr>
        <w:keepLines/>
        <w:spacing w:after="60"/>
        <w:ind w:left="360" w:hanging="360"/>
      </w:pPr>
      <w:r>
        <w:t xml:space="preserve">National Institute of Standards and Technology. (2020). NIST privacy framework: A tool for improving privacy through enterprise risk management, version 1.0. U.S. Department of Commerce. https://doi.org/10.6028/NIST.CSWP.01162020</w:t>
      </w:r>
    </w:p>
    <w:p>
      <w:pPr>
        <w:keepLines/>
        <w:spacing w:after="60"/>
        <w:ind w:left="360" w:hanging="360"/>
      </w:pPr>
      <w:r>
        <w:t>Nielsen, J. (1994). Heuristic evaluation. In J. Nielsen &amp; R. L. Mack (Eds.), Usability inspection methods (pp. 25–64). John Wiley &amp; Sons.</w:t>
      </w:r>
    </w:p>
    <w:p w14:paraId="412877CA" w14:textId="77777777" w:rsidR="00E31D22" w:rsidRDefault="00066F89">
      <w:pPr>
        <w:keepLines/>
        <w:spacing w:after="60"/>
        <w:ind w:left="360" w:hanging="360"/>
      </w:pPr>
      <w:r>
        <w:t xml:space="preserve">Radu, I. (2014). Augmented reality in education: A meta-review and cross-media analysis. Personal and Ubiquitous Computing, 18, 1533–1543. https://doi.org/10.1007/s00779-013-0747-y</w:t>
      </w:r>
    </w:p>
    <w:p w14:paraId="4888574D" w14:textId="77777777" w:rsidR="00E31D22" w:rsidRDefault="00066F89">
      <w:pPr>
        <w:keepLines/>
        <w:spacing w:after="60"/>
        <w:ind w:left="360" w:hanging="360"/>
      </w:pPr>
      <w:r>
        <w:t>Santos, M. E. C., Chen, A., Taketomi, T., Yamamoto, G., Miyazaki, J., &amp; Kato, H. (2014). Augmented reality learning experiences: Survey of prototype design and evaluation. IEEE Transactions on Learning Technologies, 7(1), 38–56. https://doi.org/10.1109/TLT.2013.37</w:t>
      </w:r>
    </w:p>
    <w:p>
      <w:pPr>
        <w:keepLines/>
        <w:spacing w:after="60"/>
        <w:ind w:left="360" w:hanging="360"/>
      </w:pPr>
      <w:r>
        <w:t>Squire, K., &amp; Klopfer, E. (2007). Augmented reality simulations on handheld computers. Journal of the Learning Sciences, 16(3), 371–413. https://doi.org/10.1080/10508400701413435</w:t>
      </w:r>
    </w:p>
    <w:p w14:paraId="3189F36C" w14:textId="77777777" w:rsidR="00E31D22" w:rsidRDefault="00066F89">
      <w:pPr>
        <w:keepLines/>
        <w:spacing w:after="60"/>
        <w:ind w:left="360" w:hanging="360"/>
      </w:pPr>
      <w:r>
        <w:t>Sweller, J. (1988). Cognitive load during problem solving: Effects on learning. Cognitive Science, 12(2), 257–285. https://doi.org/10.1207/s15516709cog1202_4</w:t>
      </w:r>
    </w:p>
    <w:p w14:paraId="144C56E5" w14:textId="77777777" w:rsidR="00E31D22" w:rsidRDefault="00066F89">
      <w:pPr>
        <w:keepLines/>
        <w:spacing w:after="60"/>
        <w:ind w:left="360" w:hanging="360"/>
      </w:pPr>
      <w:r>
        <w:t>Venkatesh, V., Morris, M. G., Davis, G. B., &amp; Davis, F. D. (2003). User acceptance of information technology: Toward a unified view. MIS Quarterly, 27(3), 425–478. https://doi.org/10.2307/30036540</w:t>
      </w:r>
    </w:p>
    <w:p w14:paraId="4FAE4ECE" w14:textId="77777777" w:rsidR="00E31D22" w:rsidRDefault="00066F89">
      <w:pPr>
        <w:keepLines/>
        <w:spacing w:after="60"/>
        <w:ind w:left="360" w:hanging="360"/>
      </w:pPr>
      <w:r>
        <w:t>Wang, F., &amp; Hannafin, M. J. (2005). Design-based research and technology-enhanced learning environments. Educational Technology Research and Development, 53(4), 5–23. https://doi.org/10.1007/BF02504682</w:t>
      </w:r>
    </w:p>
    <w:p w14:paraId="6D1216D7" w14:textId="77777777" w:rsidR="00E31D22" w:rsidRDefault="00066F89">
      <w:pPr>
        <w:keepLines/>
        <w:spacing w:after="60"/>
        <w:ind w:left="360" w:hanging="360"/>
      </w:pPr>
      <w:r>
        <w:t>World Wide Web Consortium. (2023). Web Content Accessibility Guidelines (WCAG) 2.2. https://www.w3.org/TR/WCAG22/</w:t>
      </w:r>
    </w:p>
    <w:p w14:paraId="6A03266C" w14:textId="77777777" w:rsidR="00E31D22" w:rsidRDefault="00066F89">
      <w:pPr>
        <w:keepLines/>
        <w:spacing w:after="60"/>
        <w:ind w:left="360" w:hanging="360"/>
      </w:pPr>
      <w:r>
        <w:t>Wu, H.-K., Lee, S. W.-Y., Chang, H.-Y., &amp; Liang, J.-C. (2013). Current status, opportunities and challenges of augmented reality in education. Computers &amp; Education, 62, 41–49. https://doi.org/10.1016/j.compedu.2012.10.024</w:t>
      </w:r>
    </w:p>
    <w:p w14:paraId="15E5E1DE" w14:textId="77777777" w:rsidR="00E31D22" w:rsidRDefault="00066F89">
      <w:pPr>
        <w:keepLines/>
        <w:spacing w:after="60"/>
        <w:ind w:left="360" w:hanging="360"/>
      </w:pPr>
      <w:r>
        <w:t xml:space="preserve">Zhou, F., Duh, H. B.-L., &amp; Billinghurst, M. (2008). Trends in augmented reality tracking, interaction and display: A review of ten years of ISMAR. In 2008 7th IEEE/ACM International Symposium on Mixed and Augmented Reality (pp. 193–202). IEEE. https://doi.org/10.1109/ISMAR.2008.4637362</w:t>
      </w:r>
    </w:p>
    <w:p w14:paraId="2F16B2F4" w14:textId="77777777" w:rsidR="00E31D22" w:rsidRDefault="00066F89">
      <w:pPr>
        <w:spacing w:before="240"/>
        <w:jc w:val="center"/>
      </w:pPr>
      <w:r>
        <w:rPr>
          <w:b/>
          <w:color w:val="3F6FB5"/>
          <w:sz w:val="18"/>
        </w:rPr>
        <w:t>© 2026 The Author(s) | Open Access</w:t>
      </w:r>
    </w:p>
    <w:sectPr w:rsidR="00E31D22" w:rsidSect="000C1C65">
      <w:headerReference w:type="even" r:id="rId8"/>
      <w:headerReference w:type="default" r:id="rId9"/>
      <w:footerReference w:type="even" r:id="rId10"/>
      <w:footerReference w:type="default" r:id="rId11"/>
      <w:pgSz w:w="11906" w:h="16838"/>
      <w:pgMar w:top="1020" w:right="1191" w:bottom="1020" w:left="1191" w:header="454" w:footer="454" w:gutter="0"/>
      <w:pgNumType w:start="1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70367" w14:textId="77777777" w:rsidR="00066F89" w:rsidRDefault="00066F89">
      <w:pPr>
        <w:spacing w:after="0" w:line="240" w:lineRule="auto"/>
      </w:pPr>
      <w:r>
        <w:separator/>
      </w:r>
    </w:p>
  </w:endnote>
  <w:endnote w:type="continuationSeparator" w:id="0">
    <w:p w14:paraId="7B07F915" w14:textId="77777777" w:rsidR="00066F89" w:rsidRDefault="00066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6989" w14:textId="77777777" w:rsidR="00E31D22" w:rsidRDefault="00066F89">
    <w:pPr>
      <w:pStyle w:val="Footer"/>
      <w:jc w:val="center"/>
    </w:pPr>
    <w:r>
      <w:rPr>
        <w:color w:val="666666"/>
        <w:sz w:val="18"/>
      </w:rPr>
      <w:t xml:space="preserve">https://jurnal.aretelitera.com/JASTE/   |   </w:t>
    </w:r>
    <w:r>
      <w:rPr>
        <w:color w:val="666666"/>
        <w:sz w:val="18"/>
      </w:rPr>
      <w:fldChar w:fldCharType="begin"/>
    </w:r>
    <w:r>
      <w:rPr>
        <w:color w:val="666666"/>
        <w:sz w:val="18"/>
      </w:rPr>
      <w:instrText xml:space="preserve"> PAGE </w:instrText>
    </w:r>
    <w:r w:rsidR="000C1C65">
      <w:rPr>
        <w:color w:val="666666"/>
        <w:sz w:val="18"/>
      </w:rPr>
      <w:fldChar w:fldCharType="separate"/>
    </w:r>
    <w:r w:rsidR="000C1C65">
      <w:rPr>
        <w:noProof/>
        <w:color w:val="666666"/>
        <w:sz w:val="18"/>
      </w:rPr>
      <w:t>2</w:t>
    </w:r>
    <w:r>
      <w:rPr>
        <w:color w:val="666666"/>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A12D" w14:textId="77777777" w:rsidR="00E31D22" w:rsidRDefault="00066F89">
    <w:pPr>
      <w:pStyle w:val="Footer"/>
      <w:jc w:val="center"/>
    </w:pPr>
    <w:r>
      <w:rPr>
        <w:color w:val="666666"/>
        <w:sz w:val="18"/>
      </w:rPr>
      <w:t xml:space="preserve">https://jurnal.aretelitera.com/JASTE/   |   </w:t>
    </w:r>
    <w:r>
      <w:rPr>
        <w:color w:val="666666"/>
        <w:sz w:val="18"/>
      </w:rPr>
      <w:fldChar w:fldCharType="begin"/>
    </w:r>
    <w:r>
      <w:rPr>
        <w:color w:val="666666"/>
        <w:sz w:val="18"/>
      </w:rPr>
      <w:instrText xml:space="preserve"> PAGE </w:instrText>
    </w:r>
    <w:r w:rsidR="000C1C65">
      <w:rPr>
        <w:color w:val="666666"/>
        <w:sz w:val="18"/>
      </w:rPr>
      <w:fldChar w:fldCharType="separate"/>
    </w:r>
    <w:r w:rsidR="000C1C65">
      <w:rPr>
        <w:noProof/>
        <w:color w:val="666666"/>
        <w:sz w:val="18"/>
      </w:rPr>
      <w:t>1</w:t>
    </w:r>
    <w:r>
      <w:rPr>
        <w:color w:val="6666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076D7" w14:textId="77777777" w:rsidR="00066F89" w:rsidRDefault="00066F89">
      <w:pPr>
        <w:spacing w:after="0" w:line="240" w:lineRule="auto"/>
      </w:pPr>
      <w:r>
        <w:separator/>
      </w:r>
    </w:p>
  </w:footnote>
  <w:footnote w:type="continuationSeparator" w:id="0">
    <w:p w14:paraId="0BBDB7DA" w14:textId="77777777" w:rsidR="00066F89" w:rsidRDefault="00066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9B83" w14:textId="77777777" w:rsidR="00E31D22" w:rsidRDefault="00066F89">
    <w:pPr>
      <w:pStyle w:val="Header"/>
      <w:pBdr>
        <w:bottom w:val="single" w:sz="8" w:space="0" w:color="3F6FB5"/>
      </w:pBdr>
    </w:pPr>
    <w:r>
      <w:rPr>
        <w:b/>
        <w:color w:val="3F6FB5"/>
        <w:sz w:val="20"/>
      </w:rPr>
      <w:t>JASTE</w:t>
    </w:r>
    <w:r>
      <w:rPr>
        <w:color w:val="666666"/>
        <w:sz w:val="18"/>
      </w:rPr>
      <w:t xml:space="preserve">  |  Journal of Applied Science and Technology in Engineering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8EAC7" w14:textId="77777777" w:rsidR="00E31D22" w:rsidRDefault="00066F89">
    <w:pPr>
      <w:pStyle w:val="Header"/>
      <w:pBdr>
        <w:bottom w:val="single" w:sz="8" w:space="0" w:color="3F6FB5"/>
      </w:pBdr>
    </w:pPr>
    <w:r>
      <w:rPr>
        <w:b/>
        <w:color w:val="3F6FB5"/>
        <w:sz w:val="20"/>
      </w:rPr>
      <w:t>JASTE</w:t>
    </w:r>
    <w:r>
      <w:rPr>
        <w:color w:val="666666"/>
        <w:sz w:val="18"/>
      </w:rPr>
      <w:t xml:space="preserve">  |  Journal of Applied Science and Technology in 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F89"/>
    <w:rsid w:val="000C1C65"/>
    <w:rsid w:val="0015074B"/>
    <w:rsid w:val="0029639D"/>
    <w:rsid w:val="00326F90"/>
    <w:rsid w:val="00AA1D8D"/>
    <w:rsid w:val="00B47730"/>
    <w:rsid w:val="00CB0664"/>
    <w:rsid w:val="00E31D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31C64"/>
  <w14:defaultImageDpi w14:val="300"/>
  <w15:docId w15:val="{4BC7412D-E204-4475-B9F8-5AD92879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ASTEH1">
    <w:name w:val="JASTE H1"/>
    <w:pPr>
      <w:keepNext/>
      <w:spacing w:before="200" w:after="80"/>
    </w:pPr>
    <w:rPr>
      <w:rFonts w:ascii="Times New Roman" w:hAnsi="Times New Roman"/>
      <w:b/>
      <w:color w:val="3F6FB5"/>
    </w:rPr>
  </w:style>
  <w:style w:type="paragraph" w:customStyle="1" w:styleId="JASTEH2">
    <w:name w:val="JASTE H2"/>
    <w:pPr>
      <w:keepNext/>
      <w:spacing w:before="200" w:after="80"/>
    </w:pPr>
    <w:rPr>
      <w:rFonts w:ascii="Times New Roman" w:hAnsi="Times New Roman"/>
      <w:b/>
      <w:color w:val="1111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2384</Words>
  <Characters>13591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Usability Evaluation Framework for an Augmented Reality-Based Civic Education Application</dc:title>
  <dc:subject>JASTE initial article</dc:subject>
  <dc:creator>Ahmad Sugianto¹ and Suryono¹</dc:creator>
  <cp:keywords/>
  <dc:description>generated by python-docx</dc:description>
  <cp:lastModifiedBy>erislan stmm</cp:lastModifiedBy>
  <cp:revision>2</cp:revision>
  <dcterms:created xsi:type="dcterms:W3CDTF">2013-12-23T23:15:00Z</dcterms:created>
  <dcterms:modified xsi:type="dcterms:W3CDTF">2026-08-25T03:25:00Z</dcterms:modified>
  <cp:category/>
</cp:coreProperties>
</file>