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4819"/>
        <w:gridCol w:w="4819"/>
      </w:tblGrid>
      <w:tr w:rsidR="006B0044" w14:paraId="069D67F8" w14:textId="77777777">
        <w:trPr>
          <w:jc w:val="center"/>
        </w:trPr>
        <w:tc>
          <w:tcPr>
            <w:tcW w:w="4819" w:type="dxa"/>
            <w:shd w:val="clear" w:color="auto" w:fill="EAF7FA"/>
          </w:tcPr>
          <w:p w14:paraId="3B228CEC" w14:textId="77777777" w:rsidR="006B0044" w:rsidRDefault="007133FF">
            <w:r>
              <w:rPr>
                <w:b/>
                <w:color w:val="2F66B3"/>
                <w:sz w:val="22"/>
              </w:rPr>
              <w:t>JOURNAL OF APPLIED SCIENCE AND TECHNOLOGY IN ENGINEERING</w:t>
            </w:r>
            <w:r>
              <w:br/>
            </w:r>
            <w:r>
              <w:rPr>
                <w:color w:val="666666"/>
                <w:sz w:val="16"/>
              </w:rPr>
              <w:t>Published by Arete Litera under PT Arete Mahardika Saqhi</w:t>
            </w:r>
          </w:p>
        </w:tc>
        <w:tc>
          <w:tcPr>
            <w:tcW w:w="4819" w:type="dxa"/>
            <w:shd w:val="clear" w:color="auto" w:fill="2F66B3"/>
          </w:tcPr>
          <w:p w14:paraId="37850F01" w14:textId="77777777" w:rsidR="006B0044" w:rsidRDefault="007133FF">
            <w:pPr>
              <w:jc w:val="right"/>
            </w:pPr>
            <w:r>
              <w:rPr>
                <w:b/>
                <w:color w:val="FFFFFF"/>
                <w:sz w:val="16"/>
              </w:rPr>
              <w:t>Vol. 1, No. 1</w:t>
            </w:r>
            <w:r>
              <w:rPr>
                <w:b/>
                <w:color w:val="FFFFFF"/>
                <w:sz w:val="16"/>
              </w:rPr>
              <w:br/>
              <w:t>February 2026</w:t>
            </w:r>
            <w:r>
              <w:rPr>
                <w:b/>
                <w:color w:val="FFFFFF"/>
                <w:sz w:val="16"/>
              </w:rPr>
              <w:br/>
              <w:t>P-ISSN: XXXX-XXXX</w:t>
            </w:r>
            <w:r>
              <w:rPr>
                <w:b/>
                <w:color w:val="FFFFFF"/>
                <w:sz w:val="16"/>
              </w:rPr>
              <w:br/>
              <w:t>E-ISSN: XXXX-XXXX</w:t>
            </w:r>
          </w:p>
        </w:tc>
      </w:tr>
    </w:tbl>
    <w:p w14:paraId="5FAA36F6" w14:textId="77777777" w:rsidR="006B0044" w:rsidRDefault="007133FF">
      <w:pPr>
        <w:spacing w:before="200" w:after="120"/>
        <w:jc w:val="center"/>
      </w:pPr>
      <w:r>
        <w:rPr>
          <w:b/>
          <w:color w:val="111111"/>
          <w:sz w:val="28"/>
        </w:rPr>
        <w:t xml:space="preserve">Digital Image Forensics for Authenticating WhatsApp Screenshots Using </w:t>
      </w:r>
      <w:r>
        <w:rPr>
          <w:b/>
          <w:color w:val="111111"/>
          <w:sz w:val="28"/>
        </w:rPr>
        <w:t>Metadata and Error-Level Analysis</w:t>
      </w:r>
    </w:p>
    <w:p w14:paraId="200B591B" w14:textId="77777777" w:rsidR="006B0044" w:rsidRDefault="007133FF">
      <w:pPr>
        <w:jc w:val="center"/>
      </w:pPr>
      <w:r>
        <w:rPr>
          <w:b/>
          <w:color w:val="111111"/>
        </w:rPr>
        <w:t>Margareth Simanjuntak¹</w:t>
      </w:r>
    </w:p>
    <w:p w14:paraId="6E661D33" w14:textId="77777777" w:rsidR="006B0044" w:rsidRDefault="007133FF">
      <w:pPr>
        <w:jc w:val="center"/>
      </w:pPr>
      <w:r>
        <w:rPr>
          <w:i/>
          <w:color w:val="666666"/>
          <w:sz w:val="18"/>
        </w:rPr>
        <w:t>¹ Universitas Sari Mutiara Indonesia, Indonesia</w:t>
      </w:r>
    </w:p>
    <w:p w14:paraId="5E7B16CD" w14:textId="77777777" w:rsidR="006B0044" w:rsidRDefault="007133FF">
      <w:pPr>
        <w:jc w:val="center"/>
      </w:pPr>
      <w:r>
        <w:rPr>
          <w:color w:val="2F66B3"/>
          <w:sz w:val="18"/>
        </w:rPr>
        <w:t>Corresponding author: margarethsimanjuntak283@gmail.com</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2409"/>
        <w:gridCol w:w="2409"/>
        <w:gridCol w:w="2409"/>
        <w:gridCol w:w="2409"/>
      </w:tblGrid>
      <w:tr w:rsidR="006B0044" w14:paraId="57797D1F" w14:textId="77777777">
        <w:trPr>
          <w:jc w:val="center"/>
        </w:trPr>
        <w:tc>
          <w:tcPr>
            <w:tcW w:w="2409" w:type="dxa"/>
            <w:shd w:val="clear" w:color="auto" w:fill="F1F3F6"/>
          </w:tcPr>
          <w:p w14:paraId="33269841" w14:textId="77777777" w:rsidR="006B0044" w:rsidRDefault="007133FF">
            <w:r>
              <w:rPr>
                <w:b/>
                <w:color w:val="2F66B3"/>
                <w:sz w:val="16"/>
              </w:rPr>
              <w:t>Received</w:t>
            </w:r>
          </w:p>
        </w:tc>
        <w:tc>
          <w:tcPr>
            <w:tcW w:w="2409" w:type="dxa"/>
          </w:tcPr>
          <w:p w14:paraId="6AABD106" w14:textId="77777777" w:rsidR="006B0044" w:rsidRDefault="007133FF">
            <w:r>
              <w:rPr>
                <w:color w:val="666666"/>
                <w:sz w:val="16"/>
              </w:rPr>
              <w:t>DD Month 2026</w:t>
            </w:r>
          </w:p>
        </w:tc>
        <w:tc>
          <w:tcPr>
            <w:tcW w:w="2409" w:type="dxa"/>
            <w:shd w:val="clear" w:color="auto" w:fill="F1F3F6"/>
          </w:tcPr>
          <w:p w14:paraId="5C7EC418" w14:textId="77777777" w:rsidR="006B0044" w:rsidRDefault="007133FF">
            <w:r>
              <w:rPr>
                <w:b/>
                <w:color w:val="2F66B3"/>
                <w:sz w:val="16"/>
              </w:rPr>
              <w:t>Revised</w:t>
            </w:r>
          </w:p>
        </w:tc>
        <w:tc>
          <w:tcPr>
            <w:tcW w:w="2409" w:type="dxa"/>
          </w:tcPr>
          <w:p w14:paraId="0635C2A9" w14:textId="77777777" w:rsidR="006B0044" w:rsidRDefault="007133FF">
            <w:r>
              <w:rPr>
                <w:color w:val="666666"/>
                <w:sz w:val="16"/>
              </w:rPr>
              <w:t>DD Month 2026</w:t>
            </w:r>
          </w:p>
        </w:tc>
      </w:tr>
      <w:tr w:rsidR="006B0044" w14:paraId="2614F635" w14:textId="77777777">
        <w:trPr>
          <w:jc w:val="center"/>
        </w:trPr>
        <w:tc>
          <w:tcPr>
            <w:tcW w:w="2409" w:type="dxa"/>
            <w:shd w:val="clear" w:color="auto" w:fill="F1F3F6"/>
          </w:tcPr>
          <w:p w14:paraId="6AC20326" w14:textId="77777777" w:rsidR="006B0044" w:rsidRDefault="007133FF">
            <w:r>
              <w:rPr>
                <w:b/>
                <w:color w:val="2F66B3"/>
                <w:sz w:val="16"/>
              </w:rPr>
              <w:t>Accepted</w:t>
            </w:r>
          </w:p>
        </w:tc>
        <w:tc>
          <w:tcPr>
            <w:tcW w:w="2409" w:type="dxa"/>
          </w:tcPr>
          <w:p w14:paraId="2FFFB06F" w14:textId="77777777" w:rsidR="006B0044" w:rsidRDefault="007133FF">
            <w:r>
              <w:rPr>
                <w:color w:val="666666"/>
                <w:sz w:val="16"/>
              </w:rPr>
              <w:t>DD Month 2026</w:t>
            </w:r>
          </w:p>
        </w:tc>
        <w:tc>
          <w:tcPr>
            <w:tcW w:w="2409" w:type="dxa"/>
            <w:shd w:val="clear" w:color="auto" w:fill="F1F3F6"/>
          </w:tcPr>
          <w:p w14:paraId="7F204DD0" w14:textId="77777777" w:rsidR="006B0044" w:rsidRDefault="007133FF">
            <w:r>
              <w:rPr>
                <w:b/>
                <w:color w:val="2F66B3"/>
                <w:sz w:val="16"/>
              </w:rPr>
              <w:t>Published</w:t>
            </w:r>
          </w:p>
        </w:tc>
        <w:tc>
          <w:tcPr>
            <w:tcW w:w="2409" w:type="dxa"/>
          </w:tcPr>
          <w:p w14:paraId="15562D4F" w14:textId="77777777" w:rsidR="006B0044" w:rsidRDefault="007133FF">
            <w:r>
              <w:rPr>
                <w:color w:val="666666"/>
                <w:sz w:val="16"/>
              </w:rPr>
              <w:t xml:space="preserve">DD Month </w:t>
            </w:r>
            <w:r>
              <w:rPr>
                <w:color w:val="666666"/>
                <w:sz w:val="16"/>
              </w:rPr>
              <w:t>2026</w:t>
            </w:r>
          </w:p>
        </w:tc>
      </w:tr>
    </w:tbl>
    <w:p w14:paraId="0D36262D" w14:textId="77777777" w:rsidR="006B0044" w:rsidRDefault="007133FF">
      <w:pPr>
        <w:pStyle w:val="JASTEH1"/>
      </w:pPr>
      <w:r>
        <w:t>ABSTRACT</w:t>
      </w:r>
    </w:p>
    <w:p w14:paraId="7163346E" w14:textId="77777777" w:rsidR="006B0044" w:rsidRDefault="007133FF">
      <w:pPr>
        <w:spacing w:after="60"/>
        <w:jc w:val="both"/>
      </w:pPr>
      <w:r>
        <w:rPr>
          <w:i/>
          <w:color w:val="111111"/>
        </w:rPr>
        <w:t xml:space="preserve">WhatsApp screenshots are widely used to communicate records of conversations, yet a screenshot is a rendered image that can be edited, recomposed, or generated without preserving the original message database. This technical review examines </w:t>
      </w:r>
      <w:r>
        <w:rPr>
          <w:i/>
          <w:color w:val="111111"/>
        </w:rPr>
        <w:t xml:space="preserve">a layered forensic workflow for assessing screenshot authenticity using acquisition records, cryptographic hashes, metadata examination, error-level analysis, clone detection, compression artifacts, optical character recognition, and interface-consistency </w:t>
      </w:r>
      <w:r>
        <w:rPr>
          <w:i/>
          <w:color w:val="111111"/>
        </w:rPr>
        <w:t>checks. The analysis emphasizes that no single method can prove authenticity. Metadata may be absent after screenshot capture or platform transfer, while error-level analysis is sensitive to recompression and should not be interpreted as definitive evidenc</w:t>
      </w:r>
      <w:r>
        <w:rPr>
          <w:i/>
          <w:color w:val="111111"/>
        </w:rPr>
        <w:t>e of manipulation. A defensible workflow begins with preservation of the submitted file and device context, followed by reproducible image analysis and comparison with native WhatsApp artifacts when legally and technically available. The article proposes a</w:t>
      </w:r>
      <w:r>
        <w:rPr>
          <w:i/>
          <w:color w:val="111111"/>
        </w:rPr>
        <w:t xml:space="preserve"> confidence-based reporting framework that separates observations, analytical indications, and conclusions. Technical validation should use controlled genuine and manipulated screenshot datasets, report sensitivity and specificity by manipulation type, and</w:t>
      </w:r>
      <w:r>
        <w:rPr>
          <w:i/>
          <w:color w:val="111111"/>
        </w:rPr>
        <w:t xml:space="preserve"> test robustness across devices, operating systems, themes, resolutions, and compression levels. The resulting framework positions screenshot analysis as a digital-forensics triage process rather than a stand-alone legal determination.</w:t>
      </w:r>
    </w:p>
    <w:p w14:paraId="05DF66FC" w14:textId="77777777" w:rsidR="006B0044" w:rsidRDefault="007133FF">
      <w:r>
        <w:rPr>
          <w:b/>
          <w:color w:val="2F66B3"/>
          <w:sz w:val="18"/>
        </w:rPr>
        <w:t xml:space="preserve">Keywords: </w:t>
      </w:r>
      <w:r>
        <w:rPr>
          <w:i/>
          <w:color w:val="111111"/>
          <w:sz w:val="18"/>
        </w:rPr>
        <w:t>digital im</w:t>
      </w:r>
      <w:r>
        <w:rPr>
          <w:i/>
          <w:color w:val="111111"/>
          <w:sz w:val="18"/>
        </w:rPr>
        <w:t>age forensics; WhatsApp screenshot; metadata; error-level analysis; evidence authentication</w:t>
      </w:r>
    </w:p>
    <w:p w14:paraId="667E914F" w14:textId="77777777" w:rsidR="006B0044" w:rsidRDefault="007133FF">
      <w:pPr>
        <w:pStyle w:val="JASTEH1"/>
      </w:pPr>
      <w:r>
        <w:t>1. INTRODUCTION</w:t>
      </w:r>
    </w:p>
    <w:p w14:paraId="209973A5" w14:textId="77777777" w:rsidR="006B0044" w:rsidRDefault="007133FF">
      <w:pPr>
        <w:spacing w:after="80"/>
        <w:jc w:val="both"/>
      </w:pPr>
      <w:r>
        <w:rPr>
          <w:color w:val="111111"/>
        </w:rPr>
        <w:t xml:space="preserve">Chat screenshots are convenient visual records, but their apparent readability can create unjustified confidence. Text, timestamps, profile </w:t>
      </w:r>
      <w:r>
        <w:rPr>
          <w:color w:val="111111"/>
        </w:rPr>
        <w:t>images, and interface elements can be modified with common editing tools (Farid, 2009; Bisri &amp; Marzuki, 2023). A screenshot also lacks the database structure, cryptographic context, and acquisition history available from a properly preserved device (Anglan</w:t>
      </w:r>
      <w:r>
        <w:rPr>
          <w:color w:val="111111"/>
        </w:rPr>
        <w:t>o, 2014).</w:t>
      </w:r>
    </w:p>
    <w:p w14:paraId="39F642A7" w14:textId="77777777" w:rsidR="006B0044" w:rsidRDefault="007133FF">
      <w:pPr>
        <w:spacing w:after="80"/>
        <w:jc w:val="both"/>
      </w:pPr>
      <w:r>
        <w:rPr>
          <w:color w:val="111111"/>
        </w:rPr>
        <w:t xml:space="preserve">Digital image forensics offers methods to identify inconsistencies in metadata, compression, noise, copied regions, and interface geometry (Al-Qershi &amp; Khoo, 2013; Pathania et al., 2018). These techniques produce indicators rather than automatic </w:t>
      </w:r>
      <w:r>
        <w:rPr>
          <w:color w:val="111111"/>
        </w:rPr>
        <w:t>proof (Verdoliva, 2020). Their reliability depends on the image history and on whether a suitable reference is available.</w:t>
      </w:r>
    </w:p>
    <w:p w14:paraId="3767E5F9" w14:textId="77777777" w:rsidR="006B0044" w:rsidRDefault="007133FF">
      <w:pPr>
        <w:pStyle w:val="JASTEH1"/>
      </w:pPr>
      <w:r>
        <w:t>2. BACKGROUND AND PROBLEM FORMULATION</w:t>
      </w:r>
    </w:p>
    <w:p w14:paraId="27EE4B1D" w14:textId="77777777" w:rsidR="006B0044" w:rsidRDefault="007133FF">
      <w:pPr>
        <w:spacing w:after="80"/>
        <w:jc w:val="both"/>
      </w:pPr>
      <w:r>
        <w:rPr>
          <w:color w:val="111111"/>
        </w:rPr>
        <w:t>The engineering problem addressed in this article concerns digital-image forensics for messaging</w:t>
      </w:r>
      <w:r>
        <w:rPr>
          <w:color w:val="111111"/>
        </w:rPr>
        <w:t xml:space="preserve"> evidence. The central difficulty is that WhatsApp screenshots are rendered images that may be recompressed, edited, reconstructed, or stripped of acquisition context. A useful design must therefore separate observable signals from interpretation, document</w:t>
      </w:r>
      <w:r>
        <w:rPr>
          <w:color w:val="111111"/>
        </w:rPr>
        <w:t xml:space="preserve"> uncertainty, and preserve a clear route for human verification. The proposed contribution is a layered and reproducible screenshot-authentication workflow, expressed as a testable architecture rather than as a claim of completed field performance.</w:t>
      </w:r>
    </w:p>
    <w:p w14:paraId="7BC46036" w14:textId="77777777" w:rsidR="006B0044" w:rsidRDefault="007133FF">
      <w:pPr>
        <w:spacing w:after="80"/>
        <w:jc w:val="both"/>
      </w:pPr>
      <w:r>
        <w:rPr>
          <w:color w:val="111111"/>
        </w:rPr>
        <w:t>The int</w:t>
      </w:r>
      <w:r>
        <w:rPr>
          <w:color w:val="111111"/>
        </w:rPr>
        <w:t>ended evidence base combines peer-reviewed technical studies, recognised evaluation practices, and implementation constraints reported for comparable systems. The synthesis treats the original submitted file, cryptographic hashes, metadata, pixel structure</w:t>
      </w:r>
      <w:r>
        <w:rPr>
          <w:color w:val="111111"/>
        </w:rPr>
        <w:t>, compression traces, OCR output, interface geometry, exported chats, and device-side artifacts as potential inputs whose availability, quality, legality, and relevance must be assessed before use. No input is assumed to be complete or intrinsically trustw</w:t>
      </w:r>
      <w:r>
        <w:rPr>
          <w:color w:val="111111"/>
        </w:rPr>
        <w:t>orthy; provenance and quality controls are part of the system boundary.</w:t>
      </w:r>
    </w:p>
    <w:p w14:paraId="37ABFF2A" w14:textId="77777777" w:rsidR="006B0044" w:rsidRDefault="007133FF">
      <w:pPr>
        <w:spacing w:after="80"/>
        <w:jc w:val="both"/>
      </w:pPr>
      <w:r>
        <w:rPr>
          <w:color w:val="111111"/>
        </w:rPr>
        <w:t>The main design layers are evidence preservation, file and metadata examination, error-level analysis, clone and noise analysis, OCR and interface-consistency checks, corroboration, an</w:t>
      </w:r>
      <w:r>
        <w:rPr>
          <w:color w:val="111111"/>
        </w:rPr>
        <w:t xml:space="preserve">d confidence-based reporting. These layers are </w:t>
      </w:r>
      <w:r>
        <w:rPr>
          <w:color w:val="111111"/>
        </w:rPr>
        <w:lastRenderedPageBreak/>
        <w:t>connected by explicit interfaces so that a failure can be traced to acquisition, processing, decision logic, user interaction, or governance. This decomposition also supports modular testing: one component can</w:t>
      </w:r>
      <w:r>
        <w:rPr>
          <w:color w:val="111111"/>
        </w:rPr>
        <w:t xml:space="preserve"> be replaced or recalibrated without treating the entire pipeline as an unexplained black box.</w:t>
      </w:r>
    </w:p>
    <w:p w14:paraId="5C68B85C" w14:textId="77777777" w:rsidR="006B0044" w:rsidRDefault="007133FF">
      <w:pPr>
        <w:spacing w:after="80"/>
        <w:jc w:val="both"/>
      </w:pPr>
      <w:r>
        <w:rPr>
          <w:color w:val="111111"/>
        </w:rPr>
        <w:t>The framework is intended for digital-forensics examiners, incident-response teams, legal-technology researchers, auditors, and competent authorities. Their need</w:t>
      </w:r>
      <w:r>
        <w:rPr>
          <w:color w:val="111111"/>
        </w:rPr>
        <w:t xml:space="preserve">s are not identical. Technical personnel require reproducibility and observability, domain professionals require interpretable and bounded outputs, administrators require accountability and maintainability, and end users require accessible interaction and </w:t>
      </w:r>
      <w:r>
        <w:rPr>
          <w:color w:val="111111"/>
        </w:rPr>
        <w:t>protection from avoidable harm. Requirements should therefore be negotiated across stakeholders before prototype development.</w:t>
      </w:r>
    </w:p>
    <w:p w14:paraId="387593EA" w14:textId="77777777" w:rsidR="006B0044" w:rsidRDefault="007133FF">
      <w:pPr>
        <w:spacing w:before="100" w:after="60"/>
        <w:jc w:val="center"/>
      </w:pPr>
      <w:r>
        <w:rPr>
          <w:b/>
          <w:color w:val="111111"/>
          <w:sz w:val="18"/>
        </w:rPr>
        <w:t>Table 1. Problem Context and Design Response</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536AADCC" w14:textId="77777777">
        <w:trPr>
          <w:jc w:val="center"/>
        </w:trPr>
        <w:tc>
          <w:tcPr>
            <w:tcW w:w="3213" w:type="dxa"/>
            <w:shd w:val="clear" w:color="auto" w:fill="2F66B3"/>
          </w:tcPr>
          <w:p w14:paraId="11B84077" w14:textId="77777777" w:rsidR="006B0044" w:rsidRDefault="007133FF">
            <w:pPr>
              <w:jc w:val="center"/>
            </w:pPr>
            <w:r>
              <w:rPr>
                <w:b/>
                <w:color w:val="FFFFFF"/>
                <w:sz w:val="15"/>
              </w:rPr>
              <w:t>Dimension</w:t>
            </w:r>
          </w:p>
        </w:tc>
        <w:tc>
          <w:tcPr>
            <w:tcW w:w="3213" w:type="dxa"/>
            <w:shd w:val="clear" w:color="auto" w:fill="2F66B3"/>
          </w:tcPr>
          <w:p w14:paraId="648DE181" w14:textId="77777777" w:rsidR="006B0044" w:rsidRDefault="007133FF">
            <w:pPr>
              <w:jc w:val="center"/>
            </w:pPr>
            <w:r>
              <w:rPr>
                <w:b/>
                <w:color w:val="FFFFFF"/>
                <w:sz w:val="15"/>
              </w:rPr>
              <w:t>Engineering concern</w:t>
            </w:r>
          </w:p>
        </w:tc>
        <w:tc>
          <w:tcPr>
            <w:tcW w:w="3213" w:type="dxa"/>
            <w:shd w:val="clear" w:color="auto" w:fill="2F66B3"/>
          </w:tcPr>
          <w:p w14:paraId="32110E9F" w14:textId="77777777" w:rsidR="006B0044" w:rsidRDefault="007133FF">
            <w:pPr>
              <w:jc w:val="center"/>
            </w:pPr>
            <w:r>
              <w:rPr>
                <w:b/>
                <w:color w:val="FFFFFF"/>
                <w:sz w:val="15"/>
              </w:rPr>
              <w:t>Required response</w:t>
            </w:r>
          </w:p>
        </w:tc>
      </w:tr>
      <w:tr w:rsidR="006B0044" w14:paraId="569C250C" w14:textId="77777777">
        <w:trPr>
          <w:jc w:val="center"/>
        </w:trPr>
        <w:tc>
          <w:tcPr>
            <w:tcW w:w="3213" w:type="dxa"/>
            <w:vAlign w:val="center"/>
          </w:tcPr>
          <w:p w14:paraId="3E9A4240" w14:textId="77777777" w:rsidR="006B0044" w:rsidRDefault="007133FF">
            <w:pPr>
              <w:spacing w:after="0"/>
            </w:pPr>
            <w:r>
              <w:rPr>
                <w:color w:val="111111"/>
                <w:sz w:val="15"/>
              </w:rPr>
              <w:t>Evidence</w:t>
            </w:r>
          </w:p>
        </w:tc>
        <w:tc>
          <w:tcPr>
            <w:tcW w:w="3213" w:type="dxa"/>
            <w:vAlign w:val="center"/>
          </w:tcPr>
          <w:p w14:paraId="3EEC749B" w14:textId="77777777" w:rsidR="006B0044" w:rsidRDefault="007133FF">
            <w:pPr>
              <w:spacing w:after="0"/>
            </w:pPr>
            <w:r>
              <w:rPr>
                <w:color w:val="111111"/>
                <w:sz w:val="15"/>
              </w:rPr>
              <w:t xml:space="preserve">Incomplete or </w:t>
            </w:r>
            <w:r>
              <w:rPr>
                <w:color w:val="111111"/>
                <w:sz w:val="15"/>
              </w:rPr>
              <w:t>context-dependent inputs</w:t>
            </w:r>
          </w:p>
        </w:tc>
        <w:tc>
          <w:tcPr>
            <w:tcW w:w="3213" w:type="dxa"/>
            <w:vAlign w:val="center"/>
          </w:tcPr>
          <w:p w14:paraId="1042329B" w14:textId="77777777" w:rsidR="006B0044" w:rsidRDefault="007133FF">
            <w:pPr>
              <w:spacing w:after="0"/>
            </w:pPr>
            <w:r>
              <w:rPr>
                <w:color w:val="111111"/>
                <w:sz w:val="15"/>
              </w:rPr>
              <w:t>Provenance and quality controls</w:t>
            </w:r>
          </w:p>
        </w:tc>
      </w:tr>
      <w:tr w:rsidR="006B0044" w14:paraId="6E2A812E" w14:textId="77777777">
        <w:trPr>
          <w:jc w:val="center"/>
        </w:trPr>
        <w:tc>
          <w:tcPr>
            <w:tcW w:w="3213" w:type="dxa"/>
            <w:vAlign w:val="center"/>
          </w:tcPr>
          <w:p w14:paraId="3F4614CD" w14:textId="77777777" w:rsidR="006B0044" w:rsidRDefault="007133FF">
            <w:pPr>
              <w:spacing w:after="0"/>
            </w:pPr>
            <w:r>
              <w:rPr>
                <w:color w:val="111111"/>
                <w:sz w:val="15"/>
              </w:rPr>
              <w:t>Processing</w:t>
            </w:r>
          </w:p>
        </w:tc>
        <w:tc>
          <w:tcPr>
            <w:tcW w:w="3213" w:type="dxa"/>
            <w:vAlign w:val="center"/>
          </w:tcPr>
          <w:p w14:paraId="7E98D556" w14:textId="77777777" w:rsidR="006B0044" w:rsidRDefault="007133FF">
            <w:pPr>
              <w:spacing w:after="0"/>
            </w:pPr>
            <w:r>
              <w:rPr>
                <w:color w:val="111111"/>
                <w:sz w:val="15"/>
              </w:rPr>
              <w:t>Version-sensitive transformations</w:t>
            </w:r>
          </w:p>
        </w:tc>
        <w:tc>
          <w:tcPr>
            <w:tcW w:w="3213" w:type="dxa"/>
            <w:vAlign w:val="center"/>
          </w:tcPr>
          <w:p w14:paraId="483D2E6A" w14:textId="77777777" w:rsidR="006B0044" w:rsidRDefault="007133FF">
            <w:pPr>
              <w:spacing w:after="0"/>
            </w:pPr>
            <w:r>
              <w:rPr>
                <w:color w:val="111111"/>
                <w:sz w:val="15"/>
              </w:rPr>
              <w:t>Observable modular services</w:t>
            </w:r>
          </w:p>
        </w:tc>
      </w:tr>
      <w:tr w:rsidR="006B0044" w14:paraId="1506EB4B" w14:textId="77777777">
        <w:trPr>
          <w:jc w:val="center"/>
        </w:trPr>
        <w:tc>
          <w:tcPr>
            <w:tcW w:w="3213" w:type="dxa"/>
            <w:vAlign w:val="center"/>
          </w:tcPr>
          <w:p w14:paraId="6FAAB865" w14:textId="77777777" w:rsidR="006B0044" w:rsidRDefault="007133FF">
            <w:pPr>
              <w:spacing w:after="0"/>
            </w:pPr>
            <w:r>
              <w:rPr>
                <w:color w:val="111111"/>
                <w:sz w:val="15"/>
              </w:rPr>
              <w:t>Decision</w:t>
            </w:r>
          </w:p>
        </w:tc>
        <w:tc>
          <w:tcPr>
            <w:tcW w:w="3213" w:type="dxa"/>
            <w:vAlign w:val="center"/>
          </w:tcPr>
          <w:p w14:paraId="0370F01C" w14:textId="77777777" w:rsidR="006B0044" w:rsidRDefault="007133FF">
            <w:pPr>
              <w:spacing w:after="0"/>
            </w:pPr>
            <w:r>
              <w:rPr>
                <w:color w:val="111111"/>
                <w:sz w:val="15"/>
              </w:rPr>
              <w:t>Uncertainty and asymmetric error costs</w:t>
            </w:r>
          </w:p>
        </w:tc>
        <w:tc>
          <w:tcPr>
            <w:tcW w:w="3213" w:type="dxa"/>
            <w:vAlign w:val="center"/>
          </w:tcPr>
          <w:p w14:paraId="1EB80790" w14:textId="77777777" w:rsidR="006B0044" w:rsidRDefault="007133FF">
            <w:pPr>
              <w:spacing w:after="0"/>
            </w:pPr>
            <w:r>
              <w:rPr>
                <w:color w:val="111111"/>
                <w:sz w:val="15"/>
              </w:rPr>
              <w:t>Calibration, abstention, escalation</w:t>
            </w:r>
          </w:p>
        </w:tc>
      </w:tr>
      <w:tr w:rsidR="006B0044" w14:paraId="2F68C55A" w14:textId="77777777">
        <w:trPr>
          <w:jc w:val="center"/>
        </w:trPr>
        <w:tc>
          <w:tcPr>
            <w:tcW w:w="3213" w:type="dxa"/>
            <w:vAlign w:val="center"/>
          </w:tcPr>
          <w:p w14:paraId="457D56C4" w14:textId="77777777" w:rsidR="006B0044" w:rsidRDefault="007133FF">
            <w:pPr>
              <w:spacing w:after="0"/>
            </w:pPr>
            <w:r>
              <w:rPr>
                <w:color w:val="111111"/>
                <w:sz w:val="15"/>
              </w:rPr>
              <w:t>Use</w:t>
            </w:r>
          </w:p>
        </w:tc>
        <w:tc>
          <w:tcPr>
            <w:tcW w:w="3213" w:type="dxa"/>
            <w:vAlign w:val="center"/>
          </w:tcPr>
          <w:p w14:paraId="747671B8" w14:textId="77777777" w:rsidR="006B0044" w:rsidRDefault="007133FF">
            <w:pPr>
              <w:spacing w:after="0"/>
            </w:pPr>
            <w:r>
              <w:rPr>
                <w:color w:val="111111"/>
                <w:sz w:val="15"/>
              </w:rPr>
              <w:t>Different stakeholder needs</w:t>
            </w:r>
          </w:p>
        </w:tc>
        <w:tc>
          <w:tcPr>
            <w:tcW w:w="3213" w:type="dxa"/>
            <w:vAlign w:val="center"/>
          </w:tcPr>
          <w:p w14:paraId="7EF59BD9" w14:textId="77777777" w:rsidR="006B0044" w:rsidRDefault="007133FF">
            <w:pPr>
              <w:spacing w:after="0"/>
            </w:pPr>
            <w:r>
              <w:rPr>
                <w:color w:val="111111"/>
                <w:sz w:val="15"/>
              </w:rPr>
              <w:t>Role-based and accessible interfaces</w:t>
            </w:r>
          </w:p>
        </w:tc>
      </w:tr>
    </w:tbl>
    <w:p w14:paraId="6167C85D" w14:textId="77777777" w:rsidR="006B0044" w:rsidRDefault="007133FF">
      <w:pPr>
        <w:spacing w:after="80"/>
        <w:jc w:val="both"/>
      </w:pPr>
      <w:r>
        <w:rPr>
          <w:color w:val="111111"/>
        </w:rPr>
        <w:t>A requirements baseline should translate this problem formulation into verifiable statements. For digital-image forensics for messaging evidence, each requirement should identify the triggering condition, expected resp</w:t>
      </w:r>
      <w:r>
        <w:rPr>
          <w:color w:val="111111"/>
        </w:rPr>
        <w:t>onse, measurable acceptance criterion, and responsible reviewer. Traceability is important because later changes to data, software, devices, or workflow can otherwise disconnect implementation from the original purpose. The baseline should also record expl</w:t>
      </w:r>
      <w:r>
        <w:rPr>
          <w:color w:val="111111"/>
        </w:rPr>
        <w:t>icit non-goals so that users do not infer unsupported functions from the presence of an advanced technical component.</w:t>
      </w:r>
    </w:p>
    <w:p w14:paraId="657E7A3D" w14:textId="77777777" w:rsidR="006B0044" w:rsidRDefault="007133FF">
      <w:pPr>
        <w:pStyle w:val="JASTEH1"/>
      </w:pPr>
      <w:r>
        <w:t>3. REVIEW METHOD</w:t>
      </w:r>
    </w:p>
    <w:p w14:paraId="402469ED" w14:textId="77777777" w:rsidR="006B0044" w:rsidRDefault="007133FF">
      <w:pPr>
        <w:spacing w:after="80"/>
        <w:jc w:val="both"/>
      </w:pPr>
      <w:r>
        <w:rPr>
          <w:color w:val="111111"/>
        </w:rPr>
        <w:t xml:space="preserve">The review synthesized technical literature on image metadata (Gangwar &amp; Pathania, 2018), error-level analysis (Hamza et </w:t>
      </w:r>
      <w:r>
        <w:rPr>
          <w:color w:val="111111"/>
        </w:rPr>
        <w:t>al., 2025; Sudiatmika et al., 2019), clone detection (Zhang et al., 2018), messaging-platform artifacts (Anglano, 2014), and forensic preservation (Guttman et al., 2022). Methods were compared by evidential function, required input, common confounders, and</w:t>
      </w:r>
      <w:r>
        <w:rPr>
          <w:color w:val="111111"/>
        </w:rPr>
        <w:t xml:space="preserve"> appropriate interpretation.</w:t>
      </w:r>
    </w:p>
    <w:p w14:paraId="500074ED" w14:textId="77777777" w:rsidR="006B0044" w:rsidRDefault="007133FF">
      <w:pPr>
        <w:spacing w:after="80"/>
        <w:jc w:val="both"/>
      </w:pPr>
      <w:r>
        <w:rPr>
          <w:color w:val="111111"/>
        </w:rPr>
        <w:t>The proposed workflow follows four engineering stages: preservation and acquisition, file-level examination, pixel and semantic analysis, and corroboration with independent artifacts.</w:t>
      </w:r>
    </w:p>
    <w:p w14:paraId="3C927B0B" w14:textId="77777777" w:rsidR="006B0044" w:rsidRDefault="007133FF">
      <w:pPr>
        <w:spacing w:after="80"/>
        <w:jc w:val="both"/>
      </w:pPr>
      <w:r>
        <w:rPr>
          <w:color w:val="111111"/>
        </w:rPr>
        <w:t xml:space="preserve">The analytical procedure used five stages: </w:t>
      </w:r>
      <w:r>
        <w:rPr>
          <w:color w:val="111111"/>
        </w:rPr>
        <w:t>problem-boundary definition, extraction of technical requirements, mapping of system components, specification of evaluation criteria, and synthesis of implementation safeguards. Evidence was used to justify design choices and expose limitations; it was no</w:t>
      </w:r>
      <w:r>
        <w:rPr>
          <w:color w:val="111111"/>
        </w:rPr>
        <w:t>t pooled statistically because the included sources differ in tasks, data, devices, and outcome definitions.</w:t>
      </w:r>
    </w:p>
    <w:p w14:paraId="5A8731C2" w14:textId="77777777" w:rsidR="006B0044" w:rsidRDefault="007133FF">
      <w:pPr>
        <w:spacing w:after="80"/>
        <w:jc w:val="both"/>
      </w:pPr>
      <w:r>
        <w:rPr>
          <w:color w:val="111111"/>
        </w:rPr>
        <w:t>Quality appraisal prioritised clarity of the technical procedure, relevance to the proposed component, transparency of evaluation, and transferabil</w:t>
      </w:r>
      <w:r>
        <w:rPr>
          <w:color w:val="111111"/>
        </w:rPr>
        <w:t>ity to the intended context. Sources were treated as stronger when they documented data provenance, comparison conditions, limitations, and reproducible parameters. The review retains contradictory or cautionary evidence because implementation decisions re</w:t>
      </w:r>
      <w:r>
        <w:rPr>
          <w:color w:val="111111"/>
        </w:rPr>
        <w:t>quire knowledge of failure conditions.</w:t>
      </w:r>
    </w:p>
    <w:p w14:paraId="0F8CB460" w14:textId="77777777" w:rsidR="006B0044" w:rsidRDefault="007133FF">
      <w:pPr>
        <w:pStyle w:val="JASTEH2"/>
      </w:pPr>
      <w:r>
        <w:t>3.1 Review Questions</w:t>
      </w:r>
    </w:p>
    <w:p w14:paraId="23F072A3" w14:textId="77777777" w:rsidR="006B0044" w:rsidRDefault="007133FF">
      <w:pPr>
        <w:spacing w:after="80"/>
        <w:jc w:val="both"/>
      </w:pPr>
      <w:r>
        <w:rPr>
          <w:color w:val="111111"/>
        </w:rPr>
        <w:t xml:space="preserve">The review asked four questions: What information must the system acquire? How should processing and decision components exchange evidence? Which technical and human-centred measures are </w:t>
      </w:r>
      <w:r>
        <w:rPr>
          <w:color w:val="111111"/>
        </w:rPr>
        <w:t>required for validation? What controls are necessary for responsible deployment and maintenance? These questions provide traceability from the literature to the proposed framework.</w:t>
      </w:r>
    </w:p>
    <w:p w14:paraId="5A6A8DB0" w14:textId="77777777" w:rsidR="006B0044" w:rsidRDefault="007133FF">
      <w:pPr>
        <w:spacing w:before="100" w:after="60"/>
        <w:jc w:val="center"/>
      </w:pPr>
      <w:r>
        <w:rPr>
          <w:b/>
          <w:color w:val="111111"/>
          <w:sz w:val="18"/>
        </w:rPr>
        <w:t>Table 2. Evidence-Extraction Framework</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1EDE66F7" w14:textId="77777777">
        <w:trPr>
          <w:jc w:val="center"/>
        </w:trPr>
        <w:tc>
          <w:tcPr>
            <w:tcW w:w="3213" w:type="dxa"/>
            <w:shd w:val="clear" w:color="auto" w:fill="2F66B3"/>
          </w:tcPr>
          <w:p w14:paraId="44CA74CD" w14:textId="77777777" w:rsidR="006B0044" w:rsidRDefault="007133FF">
            <w:pPr>
              <w:jc w:val="center"/>
            </w:pPr>
            <w:r>
              <w:rPr>
                <w:b/>
                <w:color w:val="FFFFFF"/>
                <w:sz w:val="15"/>
              </w:rPr>
              <w:t>Review question</w:t>
            </w:r>
          </w:p>
        </w:tc>
        <w:tc>
          <w:tcPr>
            <w:tcW w:w="3213" w:type="dxa"/>
            <w:shd w:val="clear" w:color="auto" w:fill="2F66B3"/>
          </w:tcPr>
          <w:p w14:paraId="25EFAA7A" w14:textId="77777777" w:rsidR="006B0044" w:rsidRDefault="007133FF">
            <w:pPr>
              <w:jc w:val="center"/>
            </w:pPr>
            <w:r>
              <w:rPr>
                <w:b/>
                <w:color w:val="FFFFFF"/>
                <w:sz w:val="15"/>
              </w:rPr>
              <w:t>Extracted evidence</w:t>
            </w:r>
          </w:p>
        </w:tc>
        <w:tc>
          <w:tcPr>
            <w:tcW w:w="3213" w:type="dxa"/>
            <w:shd w:val="clear" w:color="auto" w:fill="2F66B3"/>
          </w:tcPr>
          <w:p w14:paraId="766BC12A" w14:textId="77777777" w:rsidR="006B0044" w:rsidRDefault="007133FF">
            <w:pPr>
              <w:jc w:val="center"/>
            </w:pPr>
            <w:r>
              <w:rPr>
                <w:b/>
                <w:color w:val="FFFFFF"/>
                <w:sz w:val="15"/>
              </w:rPr>
              <w:t>D</w:t>
            </w:r>
            <w:r>
              <w:rPr>
                <w:b/>
                <w:color w:val="FFFFFF"/>
                <w:sz w:val="15"/>
              </w:rPr>
              <w:t>esign output</w:t>
            </w:r>
          </w:p>
        </w:tc>
      </w:tr>
      <w:tr w:rsidR="006B0044" w14:paraId="286A8DDC" w14:textId="77777777">
        <w:trPr>
          <w:jc w:val="center"/>
        </w:trPr>
        <w:tc>
          <w:tcPr>
            <w:tcW w:w="3213" w:type="dxa"/>
            <w:vAlign w:val="center"/>
          </w:tcPr>
          <w:p w14:paraId="5520CB33" w14:textId="77777777" w:rsidR="006B0044" w:rsidRDefault="007133FF">
            <w:pPr>
              <w:spacing w:after="0"/>
            </w:pPr>
            <w:r>
              <w:rPr>
                <w:color w:val="111111"/>
                <w:sz w:val="15"/>
              </w:rPr>
              <w:t>Inputs</w:t>
            </w:r>
          </w:p>
        </w:tc>
        <w:tc>
          <w:tcPr>
            <w:tcW w:w="3213" w:type="dxa"/>
            <w:vAlign w:val="center"/>
          </w:tcPr>
          <w:p w14:paraId="66204994" w14:textId="77777777" w:rsidR="006B0044" w:rsidRDefault="007133FF">
            <w:pPr>
              <w:spacing w:after="0"/>
            </w:pPr>
            <w:r>
              <w:rPr>
                <w:color w:val="111111"/>
                <w:sz w:val="15"/>
              </w:rPr>
              <w:t>Source, format, quality, context</w:t>
            </w:r>
          </w:p>
        </w:tc>
        <w:tc>
          <w:tcPr>
            <w:tcW w:w="3213" w:type="dxa"/>
            <w:vAlign w:val="center"/>
          </w:tcPr>
          <w:p w14:paraId="7FB39BBD" w14:textId="77777777" w:rsidR="006B0044" w:rsidRDefault="007133FF">
            <w:pPr>
              <w:spacing w:after="0"/>
            </w:pPr>
            <w:r>
              <w:rPr>
                <w:color w:val="111111"/>
                <w:sz w:val="15"/>
              </w:rPr>
              <w:t>Data specification</w:t>
            </w:r>
          </w:p>
        </w:tc>
      </w:tr>
      <w:tr w:rsidR="006B0044" w14:paraId="7EE1BF99" w14:textId="77777777">
        <w:trPr>
          <w:jc w:val="center"/>
        </w:trPr>
        <w:tc>
          <w:tcPr>
            <w:tcW w:w="3213" w:type="dxa"/>
            <w:vAlign w:val="center"/>
          </w:tcPr>
          <w:p w14:paraId="1AD0EF7D" w14:textId="77777777" w:rsidR="006B0044" w:rsidRDefault="007133FF">
            <w:pPr>
              <w:spacing w:after="0"/>
            </w:pPr>
            <w:r>
              <w:rPr>
                <w:color w:val="111111"/>
                <w:sz w:val="15"/>
              </w:rPr>
              <w:t>Architecture</w:t>
            </w:r>
          </w:p>
        </w:tc>
        <w:tc>
          <w:tcPr>
            <w:tcW w:w="3213" w:type="dxa"/>
            <w:vAlign w:val="center"/>
          </w:tcPr>
          <w:p w14:paraId="5C805B96" w14:textId="77777777" w:rsidR="006B0044" w:rsidRDefault="007133FF">
            <w:pPr>
              <w:spacing w:after="0"/>
            </w:pPr>
            <w:r>
              <w:rPr>
                <w:color w:val="111111"/>
                <w:sz w:val="15"/>
              </w:rPr>
              <w:t>Methods, interfaces, dependencies</w:t>
            </w:r>
          </w:p>
        </w:tc>
        <w:tc>
          <w:tcPr>
            <w:tcW w:w="3213" w:type="dxa"/>
            <w:vAlign w:val="center"/>
          </w:tcPr>
          <w:p w14:paraId="434666C7" w14:textId="77777777" w:rsidR="006B0044" w:rsidRDefault="007133FF">
            <w:pPr>
              <w:spacing w:after="0"/>
            </w:pPr>
            <w:r>
              <w:rPr>
                <w:color w:val="111111"/>
                <w:sz w:val="15"/>
              </w:rPr>
              <w:t>Component model</w:t>
            </w:r>
          </w:p>
        </w:tc>
      </w:tr>
      <w:tr w:rsidR="006B0044" w14:paraId="5FE4C648" w14:textId="77777777">
        <w:trPr>
          <w:jc w:val="center"/>
        </w:trPr>
        <w:tc>
          <w:tcPr>
            <w:tcW w:w="3213" w:type="dxa"/>
            <w:vAlign w:val="center"/>
          </w:tcPr>
          <w:p w14:paraId="35805295" w14:textId="77777777" w:rsidR="006B0044" w:rsidRDefault="007133FF">
            <w:pPr>
              <w:spacing w:after="0"/>
            </w:pPr>
            <w:r>
              <w:rPr>
                <w:color w:val="111111"/>
                <w:sz w:val="15"/>
              </w:rPr>
              <w:t>Evaluation</w:t>
            </w:r>
          </w:p>
        </w:tc>
        <w:tc>
          <w:tcPr>
            <w:tcW w:w="3213" w:type="dxa"/>
            <w:vAlign w:val="center"/>
          </w:tcPr>
          <w:p w14:paraId="16ECFDAA" w14:textId="77777777" w:rsidR="006B0044" w:rsidRDefault="007133FF">
            <w:pPr>
              <w:spacing w:after="0"/>
            </w:pPr>
            <w:r>
              <w:rPr>
                <w:color w:val="111111"/>
                <w:sz w:val="15"/>
              </w:rPr>
              <w:t>Metrics, datasets, comparison</w:t>
            </w:r>
          </w:p>
        </w:tc>
        <w:tc>
          <w:tcPr>
            <w:tcW w:w="3213" w:type="dxa"/>
            <w:vAlign w:val="center"/>
          </w:tcPr>
          <w:p w14:paraId="1CCC2CF0" w14:textId="77777777" w:rsidR="006B0044" w:rsidRDefault="007133FF">
            <w:pPr>
              <w:spacing w:after="0"/>
            </w:pPr>
            <w:r>
              <w:rPr>
                <w:color w:val="111111"/>
                <w:sz w:val="15"/>
              </w:rPr>
              <w:t>Validation protocol</w:t>
            </w:r>
          </w:p>
        </w:tc>
      </w:tr>
      <w:tr w:rsidR="006B0044" w14:paraId="7071CB33" w14:textId="77777777">
        <w:trPr>
          <w:jc w:val="center"/>
        </w:trPr>
        <w:tc>
          <w:tcPr>
            <w:tcW w:w="3213" w:type="dxa"/>
            <w:vAlign w:val="center"/>
          </w:tcPr>
          <w:p w14:paraId="6697A2DA" w14:textId="77777777" w:rsidR="006B0044" w:rsidRDefault="007133FF">
            <w:pPr>
              <w:spacing w:after="0"/>
            </w:pPr>
            <w:r>
              <w:rPr>
                <w:color w:val="111111"/>
                <w:sz w:val="15"/>
              </w:rPr>
              <w:t>Deployment</w:t>
            </w:r>
          </w:p>
        </w:tc>
        <w:tc>
          <w:tcPr>
            <w:tcW w:w="3213" w:type="dxa"/>
            <w:vAlign w:val="center"/>
          </w:tcPr>
          <w:p w14:paraId="624F7835" w14:textId="77777777" w:rsidR="006B0044" w:rsidRDefault="007133FF">
            <w:pPr>
              <w:spacing w:after="0"/>
            </w:pPr>
            <w:r>
              <w:rPr>
                <w:color w:val="111111"/>
                <w:sz w:val="15"/>
              </w:rPr>
              <w:t>Risks, users, controls</w:t>
            </w:r>
          </w:p>
        </w:tc>
        <w:tc>
          <w:tcPr>
            <w:tcW w:w="3213" w:type="dxa"/>
            <w:vAlign w:val="center"/>
          </w:tcPr>
          <w:p w14:paraId="1DC3827E" w14:textId="77777777" w:rsidR="006B0044" w:rsidRDefault="007133FF">
            <w:pPr>
              <w:spacing w:after="0"/>
            </w:pPr>
            <w:r>
              <w:rPr>
                <w:color w:val="111111"/>
                <w:sz w:val="15"/>
              </w:rPr>
              <w:t>Governance plan</w:t>
            </w:r>
          </w:p>
        </w:tc>
      </w:tr>
    </w:tbl>
    <w:p w14:paraId="588D62E7" w14:textId="77777777" w:rsidR="006B0044" w:rsidRDefault="007133FF">
      <w:pPr>
        <w:spacing w:after="80"/>
        <w:jc w:val="both"/>
      </w:pPr>
      <w:r>
        <w:rPr>
          <w:color w:val="111111"/>
        </w:rPr>
        <w:t>Synthesis decisions were documented by linking each proposed component to the type of evidence that supports it. When sources disagreed, the framework adopted the more conservative interpretation and converted the disagreement into a validation requirement</w:t>
      </w:r>
      <w:r>
        <w:rPr>
          <w:color w:val="111111"/>
        </w:rPr>
        <w:t>. This approach prevents selective citation of only favourable results and makes uncertainty visible to later developers and reviewers. The resulting framework is therefore best understood as a reasoned technical specification that remains open to revision</w:t>
      </w:r>
      <w:r>
        <w:rPr>
          <w:color w:val="111111"/>
        </w:rPr>
        <w:t xml:space="preserve"> after empirical testing.</w:t>
      </w:r>
    </w:p>
    <w:p w14:paraId="43183007" w14:textId="77777777" w:rsidR="006B0044" w:rsidRDefault="007133FF">
      <w:pPr>
        <w:pStyle w:val="JASTEH1"/>
      </w:pPr>
      <w:r>
        <w:t>4. PROPOSED SYSTEM ARCHITECTURE</w:t>
      </w:r>
    </w:p>
    <w:p w14:paraId="11F75CE7" w14:textId="77777777" w:rsidR="006B0044" w:rsidRDefault="007133FF">
      <w:pPr>
        <w:pStyle w:val="JASTEH2"/>
      </w:pPr>
      <w:r>
        <w:t>4.1 Input and Data Layer</w:t>
      </w:r>
    </w:p>
    <w:p w14:paraId="59B3D405" w14:textId="77777777" w:rsidR="006B0044" w:rsidRDefault="007133FF">
      <w:pPr>
        <w:spacing w:after="80"/>
        <w:jc w:val="both"/>
      </w:pPr>
      <w:r>
        <w:rPr>
          <w:color w:val="111111"/>
        </w:rPr>
        <w:t>System requirements begin with an operational definition of the target problem and a documented decision boundary. The data model should represent the original submitted fil</w:t>
      </w:r>
      <w:r>
        <w:rPr>
          <w:color w:val="111111"/>
        </w:rPr>
        <w:t xml:space="preserve">e, cryptographic hashes, metadata (Pathania et al., 2018; </w:t>
      </w:r>
      <w:r>
        <w:rPr>
          <w:color w:val="111111"/>
        </w:rPr>
        <w:lastRenderedPageBreak/>
        <w:t>Gangwar &amp; Pathania, 2018), pixel structure, compression traces, OCR output, interface geometry, exported chats, and device-side artifacts (Anglano, 2014). Required and optional fields must be distin</w:t>
      </w:r>
      <w:r>
        <w:rPr>
          <w:color w:val="111111"/>
        </w:rPr>
        <w:t>guished, validation rules must be machine-readable, and every transformation should retain a link to its source. Records that fail minimum quality criteria should be quarantined rather than silently imputed into a decision.</w:t>
      </w:r>
    </w:p>
    <w:p w14:paraId="62D9B64E" w14:textId="77777777" w:rsidR="006B0044" w:rsidRDefault="007133FF">
      <w:pPr>
        <w:pStyle w:val="JASTEH2"/>
      </w:pPr>
      <w:r>
        <w:t>4.2 Processing and Analytical La</w:t>
      </w:r>
      <w:r>
        <w:t>yer</w:t>
      </w:r>
    </w:p>
    <w:p w14:paraId="5533BD27" w14:textId="77777777" w:rsidR="006B0044" w:rsidRDefault="007133FF">
      <w:pPr>
        <w:spacing w:after="80"/>
        <w:jc w:val="both"/>
      </w:pPr>
      <w:r>
        <w:rPr>
          <w:color w:val="111111"/>
        </w:rPr>
        <w:t>Processing should be organised as a sequence of observable services covering evidence preservation (Guttman et al., 2022), file and metadata examination (Gangwar &amp; Pathania, 2018), error-level analysis (Sudiatmika et al., 2019; Hamza et al., 2025), clo</w:t>
      </w:r>
      <w:r>
        <w:rPr>
          <w:color w:val="111111"/>
        </w:rPr>
        <w:t>ne and noise analysis (Al-Qershi &amp; Khoo, 2013; AbdWarif et al., 2016), OCR and interface-consistency checks, corroboration, and confidence-based reporting. Each service should record its software version, configuration, input checksum, output status, proce</w:t>
      </w:r>
      <w:r>
        <w:rPr>
          <w:color w:val="111111"/>
        </w:rPr>
        <w:t>ssing time, and warnings. Reproducibility depends on these records because the same nominal method may behave differently after library, device, model, or platform updates.</w:t>
      </w:r>
    </w:p>
    <w:p w14:paraId="3CEC73CF" w14:textId="77777777" w:rsidR="006B0044" w:rsidRDefault="007133FF">
      <w:pPr>
        <w:pStyle w:val="JASTEH2"/>
      </w:pPr>
      <w:r>
        <w:t>4.3 Decision and Oversight Layer</w:t>
      </w:r>
    </w:p>
    <w:p w14:paraId="5623A297" w14:textId="77777777" w:rsidR="006B0044" w:rsidRDefault="007133FF">
      <w:pPr>
        <w:spacing w:after="80"/>
        <w:jc w:val="both"/>
      </w:pPr>
      <w:r>
        <w:rPr>
          <w:color w:val="111111"/>
        </w:rPr>
        <w:t xml:space="preserve">Decision logic should communicate both the </w:t>
      </w:r>
      <w:r>
        <w:rPr>
          <w:color w:val="111111"/>
        </w:rPr>
        <w:t>recommended action and the strength of the supporting evidence. A calibrated score is preferable to an unexplained binary label when uncertainty is material. Thresholds should be selected for the operational cost of false acceptance and false rejection, th</w:t>
      </w:r>
      <w:r>
        <w:rPr>
          <w:color w:val="111111"/>
        </w:rPr>
        <w:t>en reviewed with domain experts. Borderline cases should be escalated rather than forced into confident categories.</w:t>
      </w:r>
    </w:p>
    <w:p w14:paraId="30216541" w14:textId="77777777" w:rsidR="006B0044" w:rsidRDefault="007133FF">
      <w:pPr>
        <w:pStyle w:val="JASTEH2"/>
      </w:pPr>
      <w:r>
        <w:t>4.4 Interface and Explanation Layer</w:t>
      </w:r>
    </w:p>
    <w:p w14:paraId="0C3645C2" w14:textId="77777777" w:rsidR="006B0044" w:rsidRDefault="007133FF">
      <w:pPr>
        <w:spacing w:after="80"/>
        <w:jc w:val="both"/>
      </w:pPr>
      <w:r>
        <w:rPr>
          <w:color w:val="111111"/>
        </w:rPr>
        <w:t>The interface should expose the evidence needed for review without overwhelming the user. Layered explan</w:t>
      </w:r>
      <w:r>
        <w:rPr>
          <w:color w:val="111111"/>
        </w:rPr>
        <w:t>ations can present a concise status first, followed by source quality, component outputs, limitations, and the audit history. Accessibility, language, reading level, and device constraints are functional requirements, not decorative additions after the alg</w:t>
      </w:r>
      <w:r>
        <w:rPr>
          <w:color w:val="111111"/>
        </w:rPr>
        <w:t>orithm has been completed.</w:t>
      </w:r>
    </w:p>
    <w:p w14:paraId="191EE079" w14:textId="77777777" w:rsidR="006B0044" w:rsidRDefault="007133FF">
      <w:pPr>
        <w:spacing w:before="100" w:after="60"/>
        <w:jc w:val="center"/>
      </w:pPr>
      <w:r>
        <w:rPr>
          <w:b/>
          <w:color w:val="111111"/>
          <w:sz w:val="18"/>
        </w:rPr>
        <w:t>Table 3. Core Architecture and Control Points</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0D48CFC4" w14:textId="77777777">
        <w:trPr>
          <w:jc w:val="center"/>
        </w:trPr>
        <w:tc>
          <w:tcPr>
            <w:tcW w:w="3213" w:type="dxa"/>
            <w:shd w:val="clear" w:color="auto" w:fill="2F66B3"/>
          </w:tcPr>
          <w:p w14:paraId="50962FE3" w14:textId="77777777" w:rsidR="006B0044" w:rsidRDefault="007133FF">
            <w:pPr>
              <w:jc w:val="center"/>
            </w:pPr>
            <w:r>
              <w:rPr>
                <w:b/>
                <w:color w:val="FFFFFF"/>
                <w:sz w:val="15"/>
              </w:rPr>
              <w:t>Layer</w:t>
            </w:r>
          </w:p>
        </w:tc>
        <w:tc>
          <w:tcPr>
            <w:tcW w:w="3213" w:type="dxa"/>
            <w:shd w:val="clear" w:color="auto" w:fill="2F66B3"/>
          </w:tcPr>
          <w:p w14:paraId="2CB7FE91" w14:textId="77777777" w:rsidR="006B0044" w:rsidRDefault="007133FF">
            <w:pPr>
              <w:jc w:val="center"/>
            </w:pPr>
            <w:r>
              <w:rPr>
                <w:b/>
                <w:color w:val="FFFFFF"/>
                <w:sz w:val="15"/>
              </w:rPr>
              <w:t>Principal function</w:t>
            </w:r>
          </w:p>
        </w:tc>
        <w:tc>
          <w:tcPr>
            <w:tcW w:w="3213" w:type="dxa"/>
            <w:shd w:val="clear" w:color="auto" w:fill="2F66B3"/>
          </w:tcPr>
          <w:p w14:paraId="29ADD81E" w14:textId="77777777" w:rsidR="006B0044" w:rsidRDefault="007133FF">
            <w:pPr>
              <w:jc w:val="center"/>
            </w:pPr>
            <w:r>
              <w:rPr>
                <w:b/>
                <w:color w:val="FFFFFF"/>
                <w:sz w:val="15"/>
              </w:rPr>
              <w:t>Control point</w:t>
            </w:r>
          </w:p>
        </w:tc>
      </w:tr>
      <w:tr w:rsidR="006B0044" w14:paraId="1CB7D434" w14:textId="77777777">
        <w:trPr>
          <w:jc w:val="center"/>
        </w:trPr>
        <w:tc>
          <w:tcPr>
            <w:tcW w:w="3213" w:type="dxa"/>
            <w:vAlign w:val="center"/>
          </w:tcPr>
          <w:p w14:paraId="3D575604" w14:textId="77777777" w:rsidR="006B0044" w:rsidRDefault="007133FF">
            <w:pPr>
              <w:spacing w:after="0"/>
            </w:pPr>
            <w:r>
              <w:rPr>
                <w:color w:val="111111"/>
                <w:sz w:val="15"/>
              </w:rPr>
              <w:t>Input</w:t>
            </w:r>
          </w:p>
        </w:tc>
        <w:tc>
          <w:tcPr>
            <w:tcW w:w="3213" w:type="dxa"/>
            <w:vAlign w:val="center"/>
          </w:tcPr>
          <w:p w14:paraId="5A8B99B0" w14:textId="77777777" w:rsidR="006B0044" w:rsidRDefault="007133FF">
            <w:pPr>
              <w:spacing w:after="0"/>
            </w:pPr>
            <w:r>
              <w:rPr>
                <w:color w:val="111111"/>
                <w:sz w:val="15"/>
              </w:rPr>
              <w:t>Acquire and validate source evidence</w:t>
            </w:r>
          </w:p>
        </w:tc>
        <w:tc>
          <w:tcPr>
            <w:tcW w:w="3213" w:type="dxa"/>
            <w:vAlign w:val="center"/>
          </w:tcPr>
          <w:p w14:paraId="3893E4A8" w14:textId="77777777" w:rsidR="006B0044" w:rsidRDefault="007133FF">
            <w:pPr>
              <w:spacing w:after="0"/>
            </w:pPr>
            <w:r>
              <w:rPr>
                <w:color w:val="111111"/>
                <w:sz w:val="15"/>
              </w:rPr>
              <w:t>Provenance, consent, completeness</w:t>
            </w:r>
          </w:p>
        </w:tc>
      </w:tr>
      <w:tr w:rsidR="006B0044" w14:paraId="70F2D7FD" w14:textId="77777777">
        <w:trPr>
          <w:jc w:val="center"/>
        </w:trPr>
        <w:tc>
          <w:tcPr>
            <w:tcW w:w="3213" w:type="dxa"/>
            <w:vAlign w:val="center"/>
          </w:tcPr>
          <w:p w14:paraId="53549A31" w14:textId="77777777" w:rsidR="006B0044" w:rsidRDefault="007133FF">
            <w:pPr>
              <w:spacing w:after="0"/>
            </w:pPr>
            <w:r>
              <w:rPr>
                <w:color w:val="111111"/>
                <w:sz w:val="15"/>
              </w:rPr>
              <w:t>Processing</w:t>
            </w:r>
          </w:p>
        </w:tc>
        <w:tc>
          <w:tcPr>
            <w:tcW w:w="3213" w:type="dxa"/>
            <w:vAlign w:val="center"/>
          </w:tcPr>
          <w:p w14:paraId="6FAC38B1" w14:textId="77777777" w:rsidR="006B0044" w:rsidRDefault="007133FF">
            <w:pPr>
              <w:spacing w:after="0"/>
            </w:pPr>
            <w:r>
              <w:rPr>
                <w:color w:val="111111"/>
                <w:sz w:val="15"/>
              </w:rPr>
              <w:t>Transform and analyse evidence</w:t>
            </w:r>
          </w:p>
        </w:tc>
        <w:tc>
          <w:tcPr>
            <w:tcW w:w="3213" w:type="dxa"/>
            <w:vAlign w:val="center"/>
          </w:tcPr>
          <w:p w14:paraId="3D07D7E9" w14:textId="77777777" w:rsidR="006B0044" w:rsidRDefault="007133FF">
            <w:pPr>
              <w:spacing w:after="0"/>
            </w:pPr>
            <w:r>
              <w:rPr>
                <w:color w:val="111111"/>
                <w:sz w:val="15"/>
              </w:rPr>
              <w:t xml:space="preserve">Version, </w:t>
            </w:r>
            <w:r>
              <w:rPr>
                <w:color w:val="111111"/>
                <w:sz w:val="15"/>
              </w:rPr>
              <w:t>configuration, warnings</w:t>
            </w:r>
          </w:p>
        </w:tc>
      </w:tr>
      <w:tr w:rsidR="006B0044" w14:paraId="21C059D1" w14:textId="77777777">
        <w:trPr>
          <w:jc w:val="center"/>
        </w:trPr>
        <w:tc>
          <w:tcPr>
            <w:tcW w:w="3213" w:type="dxa"/>
            <w:vAlign w:val="center"/>
          </w:tcPr>
          <w:p w14:paraId="2F54F6A7" w14:textId="77777777" w:rsidR="006B0044" w:rsidRDefault="007133FF">
            <w:pPr>
              <w:spacing w:after="0"/>
            </w:pPr>
            <w:r>
              <w:rPr>
                <w:color w:val="111111"/>
                <w:sz w:val="15"/>
              </w:rPr>
              <w:t>Decision</w:t>
            </w:r>
          </w:p>
        </w:tc>
        <w:tc>
          <w:tcPr>
            <w:tcW w:w="3213" w:type="dxa"/>
            <w:vAlign w:val="center"/>
          </w:tcPr>
          <w:p w14:paraId="69873451" w14:textId="77777777" w:rsidR="006B0044" w:rsidRDefault="007133FF">
            <w:pPr>
              <w:spacing w:after="0"/>
            </w:pPr>
            <w:r>
              <w:rPr>
                <w:color w:val="111111"/>
                <w:sz w:val="15"/>
              </w:rPr>
              <w:t>Combine evidence and uncertainty</w:t>
            </w:r>
          </w:p>
        </w:tc>
        <w:tc>
          <w:tcPr>
            <w:tcW w:w="3213" w:type="dxa"/>
            <w:vAlign w:val="center"/>
          </w:tcPr>
          <w:p w14:paraId="02EEE47E" w14:textId="77777777" w:rsidR="006B0044" w:rsidRDefault="007133FF">
            <w:pPr>
              <w:spacing w:after="0"/>
            </w:pPr>
            <w:r>
              <w:rPr>
                <w:color w:val="111111"/>
                <w:sz w:val="15"/>
              </w:rPr>
              <w:t>Calibration and escalation</w:t>
            </w:r>
          </w:p>
        </w:tc>
      </w:tr>
      <w:tr w:rsidR="006B0044" w14:paraId="49CC6A2F" w14:textId="77777777">
        <w:trPr>
          <w:jc w:val="center"/>
        </w:trPr>
        <w:tc>
          <w:tcPr>
            <w:tcW w:w="3213" w:type="dxa"/>
            <w:vAlign w:val="center"/>
          </w:tcPr>
          <w:p w14:paraId="6B426890" w14:textId="77777777" w:rsidR="006B0044" w:rsidRDefault="007133FF">
            <w:pPr>
              <w:spacing w:after="0"/>
            </w:pPr>
            <w:r>
              <w:rPr>
                <w:color w:val="111111"/>
                <w:sz w:val="15"/>
              </w:rPr>
              <w:t>Interface</w:t>
            </w:r>
          </w:p>
        </w:tc>
        <w:tc>
          <w:tcPr>
            <w:tcW w:w="3213" w:type="dxa"/>
            <w:vAlign w:val="center"/>
          </w:tcPr>
          <w:p w14:paraId="6DB251A6" w14:textId="77777777" w:rsidR="006B0044" w:rsidRDefault="007133FF">
            <w:pPr>
              <w:spacing w:after="0"/>
            </w:pPr>
            <w:r>
              <w:rPr>
                <w:color w:val="111111"/>
                <w:sz w:val="15"/>
              </w:rPr>
              <w:t>Communicate action and limitations</w:t>
            </w:r>
          </w:p>
        </w:tc>
        <w:tc>
          <w:tcPr>
            <w:tcW w:w="3213" w:type="dxa"/>
            <w:vAlign w:val="center"/>
          </w:tcPr>
          <w:p w14:paraId="6CF33886" w14:textId="77777777" w:rsidR="006B0044" w:rsidRDefault="007133FF">
            <w:pPr>
              <w:spacing w:after="0"/>
            </w:pPr>
            <w:r>
              <w:rPr>
                <w:color w:val="111111"/>
                <w:sz w:val="15"/>
              </w:rPr>
              <w:t>Accessibility and audit history</w:t>
            </w:r>
          </w:p>
        </w:tc>
      </w:tr>
    </w:tbl>
    <w:p w14:paraId="42127081" w14:textId="77777777" w:rsidR="006B0044" w:rsidRDefault="007133FF">
      <w:pPr>
        <w:spacing w:after="80"/>
        <w:jc w:val="both"/>
      </w:pPr>
      <w:r>
        <w:rPr>
          <w:color w:val="111111"/>
        </w:rPr>
        <w:t>Interfaces between layers should use documented schemas and error states. A downstr</w:t>
      </w:r>
      <w:r>
        <w:rPr>
          <w:color w:val="111111"/>
        </w:rPr>
        <w:t xml:space="preserve">eam component must be able to distinguish a valid low value from a missing, rejected, or technically failed input. Time synchronisation, unit definitions, identifier handling, and version compatibility require explicit tests. These controls appear mundane </w:t>
      </w:r>
      <w:r>
        <w:rPr>
          <w:color w:val="111111"/>
        </w:rPr>
        <w:t>compared with analytical algorithms, but many operational failures arise from mismatched assumptions at component boundaries rather than from the core method itself.</w:t>
      </w:r>
    </w:p>
    <w:p w14:paraId="5872E020" w14:textId="77777777" w:rsidR="006B0044" w:rsidRDefault="007133FF">
      <w:pPr>
        <w:pStyle w:val="JASTEH1"/>
      </w:pPr>
      <w:r>
        <w:t>5. VALIDATION AND PERFORMANCE EVALUATION</w:t>
      </w:r>
    </w:p>
    <w:p w14:paraId="4A0D0E9B" w14:textId="77777777" w:rsidR="006B0044" w:rsidRDefault="007133FF">
      <w:pPr>
        <w:spacing w:after="80"/>
        <w:jc w:val="both"/>
      </w:pPr>
      <w:r>
        <w:rPr>
          <w:color w:val="111111"/>
        </w:rPr>
        <w:t>Evaluation must measure more than headline accura</w:t>
      </w:r>
      <w:r>
        <w:rPr>
          <w:color w:val="111111"/>
        </w:rPr>
        <w:t>cy, echoing comparative evaluations of forgery-detection approaches that report accuracy alongside failure conditions rather than a single summary score (Christlein et al., 2012). The minimum set includes repeatability, sensitivity and specificity by manip</w:t>
      </w:r>
      <w:r>
        <w:rPr>
          <w:color w:val="111111"/>
        </w:rPr>
        <w:t xml:space="preserve">ulation type, false-positive rate, examiner agreement, robustness across devices, and completeness of the audit trail. Metrics should be reported with denominators, confidence intervals where appropriate, threshold settings, and subgroup results. A system </w:t>
      </w:r>
      <w:r>
        <w:rPr>
          <w:color w:val="111111"/>
        </w:rPr>
        <w:t>that performs well on an average score may still be unsafe if errors concentrate in a device type, language group, environmental condition, or high-risk use case.</w:t>
      </w:r>
    </w:p>
    <w:p w14:paraId="71F6281F" w14:textId="77777777" w:rsidR="006B0044" w:rsidRDefault="007133FF">
      <w:pPr>
        <w:spacing w:after="80"/>
        <w:jc w:val="both"/>
      </w:pPr>
      <w:r>
        <w:rPr>
          <w:color w:val="111111"/>
        </w:rPr>
        <w:t>Development, tuning, and final evaluation data must be separated at the level where leakage c</w:t>
      </w:r>
      <w:r>
        <w:rPr>
          <w:color w:val="111111"/>
        </w:rPr>
        <w:t>an occur. Near duplicates, repeated users, related devices, or temporally adjacent records can inflate performance if they appear on both sides of a split. A credible protocol documents exclusions, deduplication, missingness, class distribution, and the ra</w:t>
      </w:r>
      <w:r>
        <w:rPr>
          <w:color w:val="111111"/>
        </w:rPr>
        <w:t>tionale for every sampling decision.</w:t>
      </w:r>
    </w:p>
    <w:p w14:paraId="0B6E28F9" w14:textId="77777777" w:rsidR="006B0044" w:rsidRDefault="007133FF">
      <w:pPr>
        <w:spacing w:after="80"/>
        <w:jc w:val="both"/>
      </w:pPr>
      <w:r>
        <w:rPr>
          <w:color w:val="111111"/>
        </w:rPr>
        <w:t xml:space="preserve">Robustness testing should vary conditions expected after deployment rather than reproducing only a clean laboratory setting. Stress tests may include reduced quality, missing fields, changed interfaces, novel </w:t>
      </w:r>
      <w:r>
        <w:rPr>
          <w:color w:val="111111"/>
        </w:rPr>
        <w:t>attack patterns, network interruption, low-end devices, and ambiguous cases. Results should identify failure modes and recovery behaviour, including whether the system abstains safely when evidence is insufficient.</w:t>
      </w:r>
    </w:p>
    <w:p w14:paraId="1C2687BD" w14:textId="77777777" w:rsidR="006B0044" w:rsidRDefault="007133FF">
      <w:pPr>
        <w:spacing w:after="80"/>
        <w:jc w:val="both"/>
      </w:pPr>
      <w:r>
        <w:rPr>
          <w:color w:val="111111"/>
        </w:rPr>
        <w:t>Human factors require their own validatio</w:t>
      </w:r>
      <w:r>
        <w:rPr>
          <w:color w:val="111111"/>
        </w:rPr>
        <w:t xml:space="preserve">n. Reviewers should complete representative tasks while researchers measure completion, interpretation errors, confidence, workload, and disagreement. Qualitative debriefing can reveal misleading explanations and workflow friction that quantitative system </w:t>
      </w:r>
      <w:r>
        <w:rPr>
          <w:color w:val="111111"/>
        </w:rPr>
        <w:t>metrics do not capture. Human oversight is effective only when reviewers have enough time, competence, and authority to challenge the output.</w:t>
      </w:r>
    </w:p>
    <w:p w14:paraId="0D3228BE" w14:textId="77777777" w:rsidR="006B0044" w:rsidRDefault="007133FF">
      <w:pPr>
        <w:spacing w:before="100" w:after="60"/>
        <w:jc w:val="center"/>
      </w:pPr>
      <w:r>
        <w:rPr>
          <w:b/>
          <w:color w:val="111111"/>
          <w:sz w:val="18"/>
        </w:rPr>
        <w:t>Table 4. Minimum Validation Matrix</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30E26282" w14:textId="77777777">
        <w:trPr>
          <w:jc w:val="center"/>
        </w:trPr>
        <w:tc>
          <w:tcPr>
            <w:tcW w:w="3213" w:type="dxa"/>
            <w:shd w:val="clear" w:color="auto" w:fill="2F66B3"/>
          </w:tcPr>
          <w:p w14:paraId="5851B4A6" w14:textId="77777777" w:rsidR="006B0044" w:rsidRDefault="007133FF">
            <w:pPr>
              <w:jc w:val="center"/>
            </w:pPr>
            <w:r>
              <w:rPr>
                <w:b/>
                <w:color w:val="FFFFFF"/>
                <w:sz w:val="15"/>
              </w:rPr>
              <w:t>Evaluation domain</w:t>
            </w:r>
          </w:p>
        </w:tc>
        <w:tc>
          <w:tcPr>
            <w:tcW w:w="3213" w:type="dxa"/>
            <w:shd w:val="clear" w:color="auto" w:fill="2F66B3"/>
          </w:tcPr>
          <w:p w14:paraId="518C23EA" w14:textId="77777777" w:rsidR="006B0044" w:rsidRDefault="007133FF">
            <w:pPr>
              <w:jc w:val="center"/>
            </w:pPr>
            <w:r>
              <w:rPr>
                <w:b/>
                <w:color w:val="FFFFFF"/>
                <w:sz w:val="15"/>
              </w:rPr>
              <w:t>Example measure</w:t>
            </w:r>
          </w:p>
        </w:tc>
        <w:tc>
          <w:tcPr>
            <w:tcW w:w="3213" w:type="dxa"/>
            <w:shd w:val="clear" w:color="auto" w:fill="2F66B3"/>
          </w:tcPr>
          <w:p w14:paraId="084A9929" w14:textId="77777777" w:rsidR="006B0044" w:rsidRDefault="007133FF">
            <w:pPr>
              <w:jc w:val="center"/>
            </w:pPr>
            <w:r>
              <w:rPr>
                <w:b/>
                <w:color w:val="FFFFFF"/>
                <w:sz w:val="15"/>
              </w:rPr>
              <w:t>Decision use</w:t>
            </w:r>
          </w:p>
        </w:tc>
      </w:tr>
      <w:tr w:rsidR="006B0044" w14:paraId="2576D5C1" w14:textId="77777777">
        <w:trPr>
          <w:jc w:val="center"/>
        </w:trPr>
        <w:tc>
          <w:tcPr>
            <w:tcW w:w="3213" w:type="dxa"/>
            <w:vAlign w:val="center"/>
          </w:tcPr>
          <w:p w14:paraId="77E9D9EF" w14:textId="77777777" w:rsidR="006B0044" w:rsidRDefault="007133FF">
            <w:pPr>
              <w:spacing w:after="0"/>
            </w:pPr>
            <w:r>
              <w:rPr>
                <w:color w:val="111111"/>
                <w:sz w:val="15"/>
              </w:rPr>
              <w:lastRenderedPageBreak/>
              <w:t>Technical validity</w:t>
            </w:r>
          </w:p>
        </w:tc>
        <w:tc>
          <w:tcPr>
            <w:tcW w:w="3213" w:type="dxa"/>
            <w:vAlign w:val="center"/>
          </w:tcPr>
          <w:p w14:paraId="615A9551" w14:textId="77777777" w:rsidR="006B0044" w:rsidRDefault="007133FF">
            <w:pPr>
              <w:spacing w:after="0"/>
            </w:pPr>
            <w:r>
              <w:rPr>
                <w:color w:val="111111"/>
                <w:sz w:val="15"/>
              </w:rPr>
              <w:t>repeatability, sensitivity and specificity by manipulation type, false-positive rate, examiner agreement, robustness across devices</w:t>
            </w:r>
          </w:p>
        </w:tc>
        <w:tc>
          <w:tcPr>
            <w:tcW w:w="3213" w:type="dxa"/>
            <w:vAlign w:val="center"/>
          </w:tcPr>
          <w:p w14:paraId="6B1F290D" w14:textId="77777777" w:rsidR="006B0044" w:rsidRDefault="007133FF">
            <w:pPr>
              <w:spacing w:after="0"/>
            </w:pPr>
            <w:r>
              <w:rPr>
                <w:color w:val="111111"/>
                <w:sz w:val="15"/>
              </w:rPr>
              <w:t>Compare configurations</w:t>
            </w:r>
          </w:p>
        </w:tc>
      </w:tr>
      <w:tr w:rsidR="006B0044" w14:paraId="79BB2CE3" w14:textId="77777777">
        <w:trPr>
          <w:jc w:val="center"/>
        </w:trPr>
        <w:tc>
          <w:tcPr>
            <w:tcW w:w="3213" w:type="dxa"/>
            <w:vAlign w:val="center"/>
          </w:tcPr>
          <w:p w14:paraId="5AF314AB" w14:textId="77777777" w:rsidR="006B0044" w:rsidRDefault="007133FF">
            <w:pPr>
              <w:spacing w:after="0"/>
            </w:pPr>
            <w:r>
              <w:rPr>
                <w:color w:val="111111"/>
                <w:sz w:val="15"/>
              </w:rPr>
              <w:t>Robustness</w:t>
            </w:r>
          </w:p>
        </w:tc>
        <w:tc>
          <w:tcPr>
            <w:tcW w:w="3213" w:type="dxa"/>
            <w:vAlign w:val="center"/>
          </w:tcPr>
          <w:p w14:paraId="3A6CCFDE" w14:textId="77777777" w:rsidR="006B0044" w:rsidRDefault="007133FF">
            <w:pPr>
              <w:spacing w:after="0"/>
            </w:pPr>
            <w:r>
              <w:rPr>
                <w:color w:val="111111"/>
                <w:sz w:val="15"/>
              </w:rPr>
              <w:t>Performance under degraded or novel conditions</w:t>
            </w:r>
          </w:p>
        </w:tc>
        <w:tc>
          <w:tcPr>
            <w:tcW w:w="3213" w:type="dxa"/>
            <w:vAlign w:val="center"/>
          </w:tcPr>
          <w:p w14:paraId="7B6F5920" w14:textId="77777777" w:rsidR="006B0044" w:rsidRDefault="007133FF">
            <w:pPr>
              <w:spacing w:after="0"/>
            </w:pPr>
            <w:r>
              <w:rPr>
                <w:color w:val="111111"/>
                <w:sz w:val="15"/>
              </w:rPr>
              <w:t>Define safe operating boundary</w:t>
            </w:r>
          </w:p>
        </w:tc>
      </w:tr>
      <w:tr w:rsidR="006B0044" w14:paraId="4A3D4413" w14:textId="77777777">
        <w:trPr>
          <w:jc w:val="center"/>
        </w:trPr>
        <w:tc>
          <w:tcPr>
            <w:tcW w:w="3213" w:type="dxa"/>
            <w:vAlign w:val="center"/>
          </w:tcPr>
          <w:p w14:paraId="1CB601DE" w14:textId="77777777" w:rsidR="006B0044" w:rsidRDefault="007133FF">
            <w:pPr>
              <w:spacing w:after="0"/>
            </w:pPr>
            <w:r>
              <w:rPr>
                <w:color w:val="111111"/>
                <w:sz w:val="15"/>
              </w:rPr>
              <w:t xml:space="preserve">Human </w:t>
            </w:r>
            <w:r>
              <w:rPr>
                <w:color w:val="111111"/>
                <w:sz w:val="15"/>
              </w:rPr>
              <w:t>factors</w:t>
            </w:r>
          </w:p>
        </w:tc>
        <w:tc>
          <w:tcPr>
            <w:tcW w:w="3213" w:type="dxa"/>
            <w:vAlign w:val="center"/>
          </w:tcPr>
          <w:p w14:paraId="0D726FCD" w14:textId="77777777" w:rsidR="006B0044" w:rsidRDefault="007133FF">
            <w:pPr>
              <w:spacing w:after="0"/>
            </w:pPr>
            <w:r>
              <w:rPr>
                <w:color w:val="111111"/>
                <w:sz w:val="15"/>
              </w:rPr>
              <w:t>Task success, interpretation error, workload</w:t>
            </w:r>
          </w:p>
        </w:tc>
        <w:tc>
          <w:tcPr>
            <w:tcW w:w="3213" w:type="dxa"/>
            <w:vAlign w:val="center"/>
          </w:tcPr>
          <w:p w14:paraId="7A37D041" w14:textId="77777777" w:rsidR="006B0044" w:rsidRDefault="007133FF">
            <w:pPr>
              <w:spacing w:after="0"/>
            </w:pPr>
            <w:r>
              <w:rPr>
                <w:color w:val="111111"/>
                <w:sz w:val="15"/>
              </w:rPr>
              <w:t>Improve interface and training</w:t>
            </w:r>
          </w:p>
        </w:tc>
      </w:tr>
      <w:tr w:rsidR="006B0044" w14:paraId="46EEDF8F" w14:textId="77777777">
        <w:trPr>
          <w:jc w:val="center"/>
        </w:trPr>
        <w:tc>
          <w:tcPr>
            <w:tcW w:w="3213" w:type="dxa"/>
            <w:vAlign w:val="center"/>
          </w:tcPr>
          <w:p w14:paraId="2B696D7D" w14:textId="77777777" w:rsidR="006B0044" w:rsidRDefault="007133FF">
            <w:pPr>
              <w:spacing w:after="0"/>
            </w:pPr>
            <w:r>
              <w:rPr>
                <w:color w:val="111111"/>
                <w:sz w:val="15"/>
              </w:rPr>
              <w:t>Operations</w:t>
            </w:r>
          </w:p>
        </w:tc>
        <w:tc>
          <w:tcPr>
            <w:tcW w:w="3213" w:type="dxa"/>
            <w:vAlign w:val="center"/>
          </w:tcPr>
          <w:p w14:paraId="069A0D0F" w14:textId="77777777" w:rsidR="006B0044" w:rsidRDefault="007133FF">
            <w:pPr>
              <w:spacing w:after="0"/>
            </w:pPr>
            <w:r>
              <w:rPr>
                <w:color w:val="111111"/>
                <w:sz w:val="15"/>
              </w:rPr>
              <w:t>Latency, availability, incidents, overrides</w:t>
            </w:r>
          </w:p>
        </w:tc>
        <w:tc>
          <w:tcPr>
            <w:tcW w:w="3213" w:type="dxa"/>
            <w:vAlign w:val="center"/>
          </w:tcPr>
          <w:p w14:paraId="5EF3B836" w14:textId="77777777" w:rsidR="006B0044" w:rsidRDefault="007133FF">
            <w:pPr>
              <w:spacing w:after="0"/>
            </w:pPr>
            <w:r>
              <w:rPr>
                <w:color w:val="111111"/>
                <w:sz w:val="15"/>
              </w:rPr>
              <w:t>Monitor deployment health</w:t>
            </w:r>
          </w:p>
        </w:tc>
      </w:tr>
    </w:tbl>
    <w:p w14:paraId="55035906" w14:textId="77777777" w:rsidR="006B0044" w:rsidRDefault="007133FF">
      <w:pPr>
        <w:spacing w:after="80"/>
        <w:jc w:val="both"/>
      </w:pPr>
      <w:r>
        <w:rPr>
          <w:color w:val="111111"/>
        </w:rPr>
        <w:t>A validation report should publish the complete test configuration, including hardware, s</w:t>
      </w:r>
      <w:r>
        <w:rPr>
          <w:color w:val="111111"/>
        </w:rPr>
        <w:t>oftware, model or rule versions, threshold values, sample exclusions, and unsuccessful trials. Aggregate metrics should be accompanied by confusion patterns or error categories that show what the system gets wrong. Acceptance criteria must be set before ex</w:t>
      </w:r>
      <w:r>
        <w:rPr>
          <w:color w:val="111111"/>
        </w:rPr>
        <w:t>amining final test results wherever feasible, thereby reducing the temptation to redefine success around the observed output.</w:t>
      </w:r>
    </w:p>
    <w:p w14:paraId="7C7B207B" w14:textId="77777777" w:rsidR="006B0044" w:rsidRDefault="007133FF">
      <w:pPr>
        <w:pStyle w:val="JASTEH1"/>
      </w:pPr>
      <w:r>
        <w:t>6. RISK, ETHICS, PRIVACY, AND GOVERNANCE</w:t>
      </w:r>
    </w:p>
    <w:p w14:paraId="1A99FEB4" w14:textId="77777777" w:rsidR="006B0044" w:rsidRDefault="007133FF">
      <w:pPr>
        <w:spacing w:after="80"/>
        <w:jc w:val="both"/>
      </w:pPr>
      <w:r>
        <w:rPr>
          <w:color w:val="111111"/>
        </w:rPr>
        <w:t>The principal risks include platform recompression, missing metadata, multiple saves, cha</w:t>
      </w:r>
      <w:r>
        <w:rPr>
          <w:color w:val="111111"/>
        </w:rPr>
        <w:t>nging interfaces, unsupported legal conclusions, tool-version dependence, and confirmation bias, a well-documented source of error in expert forensic judgement that structured information-management protocols can help mitigate (Rojas Alfaro et al., 2024; K</w:t>
      </w:r>
      <w:r>
        <w:rPr>
          <w:color w:val="111111"/>
        </w:rPr>
        <w:t xml:space="preserve">unkler &amp; Roy, 2023). These risks should be entered in a living register with a cause, affected component, likely consequence, existing control, residual severity, monitoring signal, and accountable owner. Risk review should occur before each major release </w:t>
      </w:r>
      <w:r>
        <w:rPr>
          <w:color w:val="111111"/>
        </w:rPr>
        <w:t>and whenever evidence shows a new failure pattern.</w:t>
      </w:r>
    </w:p>
    <w:p w14:paraId="20CD0826" w14:textId="77777777" w:rsidR="006B0044" w:rsidRDefault="007133FF">
      <w:pPr>
        <w:spacing w:after="80"/>
        <w:jc w:val="both"/>
      </w:pPr>
      <w:r>
        <w:rPr>
          <w:color w:val="111111"/>
        </w:rPr>
        <w:t xml:space="preserve">Privacy protection starts with data minimisation and purpose limitation. Collection should be restricted to information required for the declared function, retention periods should be explicit, and access </w:t>
      </w:r>
      <w:r>
        <w:rPr>
          <w:color w:val="111111"/>
        </w:rPr>
        <w:t>should follow least-privilege principles. Identifiers should be separated from analytical data where feasible, transfers should be encrypted, and deletion or withdrawal procedures should be testable rather than merely described in policy text.</w:t>
      </w:r>
    </w:p>
    <w:p w14:paraId="74BE5B97" w14:textId="77777777" w:rsidR="006B0044" w:rsidRDefault="007133FF">
      <w:pPr>
        <w:spacing w:after="80"/>
        <w:jc w:val="both"/>
      </w:pPr>
      <w:r>
        <w:rPr>
          <w:color w:val="111111"/>
        </w:rPr>
        <w:t>Governance m</w:t>
      </w:r>
      <w:r>
        <w:rPr>
          <w:color w:val="111111"/>
        </w:rPr>
        <w:t>ust define who can change thresholds, models, feature sets, interface wording, and escalation rules. Material changes require documented testing and approval. Audit logs should be protected from routine editing and should support reconstruction of the evid</w:t>
      </w:r>
      <w:r>
        <w:rPr>
          <w:color w:val="111111"/>
        </w:rPr>
        <w:t>ence available at the time of a decision. Incidents need an investigation route, user notification criteria, and corrective-action tracking.</w:t>
      </w:r>
    </w:p>
    <w:p w14:paraId="45CC9C20" w14:textId="77777777" w:rsidR="006B0044" w:rsidRDefault="007133FF">
      <w:pPr>
        <w:spacing w:after="80"/>
        <w:jc w:val="both"/>
      </w:pPr>
      <w:r>
        <w:rPr>
          <w:color w:val="111111"/>
        </w:rPr>
        <w:t>Ethical review should focus on foreseeable effects rather than only on formal consent. Exclusion, stigma, surveilla</w:t>
      </w:r>
      <w:r>
        <w:rPr>
          <w:color w:val="111111"/>
        </w:rPr>
        <w:t>nce, automation bias, and unequal error rates may arise even when data collection is technically lawful. Stakeholder participation and accessible complaint mechanisms help identify harms that are not visible in benchmark results.</w:t>
      </w:r>
    </w:p>
    <w:p w14:paraId="558E6398" w14:textId="77777777" w:rsidR="006B0044" w:rsidRDefault="007133FF">
      <w:pPr>
        <w:spacing w:before="100" w:after="60"/>
        <w:jc w:val="center"/>
      </w:pPr>
      <w:r>
        <w:rPr>
          <w:b/>
          <w:color w:val="111111"/>
          <w:sz w:val="18"/>
        </w:rPr>
        <w:t>Table 5. Risk-Control Regi</w:t>
      </w:r>
      <w:r>
        <w:rPr>
          <w:b/>
          <w:color w:val="111111"/>
          <w:sz w:val="18"/>
        </w:rPr>
        <w:t>ster</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12B7494D" w14:textId="77777777">
        <w:trPr>
          <w:jc w:val="center"/>
        </w:trPr>
        <w:tc>
          <w:tcPr>
            <w:tcW w:w="3213" w:type="dxa"/>
            <w:shd w:val="clear" w:color="auto" w:fill="2F66B3"/>
          </w:tcPr>
          <w:p w14:paraId="528FB49B" w14:textId="77777777" w:rsidR="006B0044" w:rsidRDefault="007133FF">
            <w:pPr>
              <w:jc w:val="center"/>
            </w:pPr>
            <w:r>
              <w:rPr>
                <w:b/>
                <w:color w:val="FFFFFF"/>
                <w:sz w:val="15"/>
              </w:rPr>
              <w:t>Risk category</w:t>
            </w:r>
          </w:p>
        </w:tc>
        <w:tc>
          <w:tcPr>
            <w:tcW w:w="3213" w:type="dxa"/>
            <w:shd w:val="clear" w:color="auto" w:fill="2F66B3"/>
          </w:tcPr>
          <w:p w14:paraId="6E1077D8" w14:textId="77777777" w:rsidR="006B0044" w:rsidRDefault="007133FF">
            <w:pPr>
              <w:jc w:val="center"/>
            </w:pPr>
            <w:r>
              <w:rPr>
                <w:b/>
                <w:color w:val="FFFFFF"/>
                <w:sz w:val="15"/>
              </w:rPr>
              <w:t>Preventive control</w:t>
            </w:r>
          </w:p>
        </w:tc>
        <w:tc>
          <w:tcPr>
            <w:tcW w:w="3213" w:type="dxa"/>
            <w:shd w:val="clear" w:color="auto" w:fill="2F66B3"/>
          </w:tcPr>
          <w:p w14:paraId="08D29BFF" w14:textId="77777777" w:rsidR="006B0044" w:rsidRDefault="007133FF">
            <w:pPr>
              <w:jc w:val="center"/>
            </w:pPr>
            <w:r>
              <w:rPr>
                <w:b/>
                <w:color w:val="FFFFFF"/>
                <w:sz w:val="15"/>
              </w:rPr>
              <w:t>Monitoring evidence</w:t>
            </w:r>
          </w:p>
        </w:tc>
      </w:tr>
      <w:tr w:rsidR="006B0044" w14:paraId="21BA5214" w14:textId="77777777">
        <w:trPr>
          <w:jc w:val="center"/>
        </w:trPr>
        <w:tc>
          <w:tcPr>
            <w:tcW w:w="3213" w:type="dxa"/>
            <w:vAlign w:val="center"/>
          </w:tcPr>
          <w:p w14:paraId="1C83C346" w14:textId="77777777" w:rsidR="006B0044" w:rsidRDefault="007133FF">
            <w:pPr>
              <w:spacing w:after="0"/>
            </w:pPr>
            <w:r>
              <w:rPr>
                <w:color w:val="111111"/>
                <w:sz w:val="15"/>
              </w:rPr>
              <w:t>Data quality</w:t>
            </w:r>
          </w:p>
        </w:tc>
        <w:tc>
          <w:tcPr>
            <w:tcW w:w="3213" w:type="dxa"/>
            <w:vAlign w:val="center"/>
          </w:tcPr>
          <w:p w14:paraId="05E72608" w14:textId="77777777" w:rsidR="006B0044" w:rsidRDefault="007133FF">
            <w:pPr>
              <w:spacing w:after="0"/>
            </w:pPr>
            <w:r>
              <w:rPr>
                <w:color w:val="111111"/>
                <w:sz w:val="15"/>
              </w:rPr>
              <w:t>Validation, provenance, quarantine</w:t>
            </w:r>
          </w:p>
        </w:tc>
        <w:tc>
          <w:tcPr>
            <w:tcW w:w="3213" w:type="dxa"/>
            <w:vAlign w:val="center"/>
          </w:tcPr>
          <w:p w14:paraId="0FAAACF8" w14:textId="77777777" w:rsidR="006B0044" w:rsidRDefault="007133FF">
            <w:pPr>
              <w:spacing w:after="0"/>
            </w:pPr>
            <w:r>
              <w:rPr>
                <w:color w:val="111111"/>
                <w:sz w:val="15"/>
              </w:rPr>
              <w:t>Missingness and rejection logs</w:t>
            </w:r>
          </w:p>
        </w:tc>
      </w:tr>
      <w:tr w:rsidR="006B0044" w14:paraId="37ED0BFF" w14:textId="77777777">
        <w:trPr>
          <w:jc w:val="center"/>
        </w:trPr>
        <w:tc>
          <w:tcPr>
            <w:tcW w:w="3213" w:type="dxa"/>
            <w:vAlign w:val="center"/>
          </w:tcPr>
          <w:p w14:paraId="03EB94A6" w14:textId="77777777" w:rsidR="006B0044" w:rsidRDefault="007133FF">
            <w:pPr>
              <w:spacing w:after="0"/>
            </w:pPr>
            <w:r>
              <w:rPr>
                <w:color w:val="111111"/>
                <w:sz w:val="15"/>
              </w:rPr>
              <w:t>Model or rule failure</w:t>
            </w:r>
          </w:p>
        </w:tc>
        <w:tc>
          <w:tcPr>
            <w:tcW w:w="3213" w:type="dxa"/>
            <w:vAlign w:val="center"/>
          </w:tcPr>
          <w:p w14:paraId="7FB24D70" w14:textId="77777777" w:rsidR="006B0044" w:rsidRDefault="007133FF">
            <w:pPr>
              <w:spacing w:after="0"/>
            </w:pPr>
            <w:r>
              <w:rPr>
                <w:color w:val="111111"/>
                <w:sz w:val="15"/>
              </w:rPr>
              <w:t>Calibration and bounded use</w:t>
            </w:r>
          </w:p>
        </w:tc>
        <w:tc>
          <w:tcPr>
            <w:tcW w:w="3213" w:type="dxa"/>
            <w:vAlign w:val="center"/>
          </w:tcPr>
          <w:p w14:paraId="7651B72C" w14:textId="77777777" w:rsidR="006B0044" w:rsidRDefault="007133FF">
            <w:pPr>
              <w:spacing w:after="0"/>
            </w:pPr>
            <w:r>
              <w:rPr>
                <w:color w:val="111111"/>
                <w:sz w:val="15"/>
              </w:rPr>
              <w:t>Error and override patterns</w:t>
            </w:r>
          </w:p>
        </w:tc>
      </w:tr>
      <w:tr w:rsidR="006B0044" w14:paraId="3094D5AA" w14:textId="77777777">
        <w:trPr>
          <w:jc w:val="center"/>
        </w:trPr>
        <w:tc>
          <w:tcPr>
            <w:tcW w:w="3213" w:type="dxa"/>
            <w:vAlign w:val="center"/>
          </w:tcPr>
          <w:p w14:paraId="1BF1F69A" w14:textId="77777777" w:rsidR="006B0044" w:rsidRDefault="007133FF">
            <w:pPr>
              <w:spacing w:after="0"/>
            </w:pPr>
            <w:r>
              <w:rPr>
                <w:color w:val="111111"/>
                <w:sz w:val="15"/>
              </w:rPr>
              <w:t>Privacy and security</w:t>
            </w:r>
          </w:p>
        </w:tc>
        <w:tc>
          <w:tcPr>
            <w:tcW w:w="3213" w:type="dxa"/>
            <w:vAlign w:val="center"/>
          </w:tcPr>
          <w:p w14:paraId="2C8E37EE" w14:textId="77777777" w:rsidR="006B0044" w:rsidRDefault="007133FF">
            <w:pPr>
              <w:spacing w:after="0"/>
            </w:pPr>
            <w:r>
              <w:rPr>
                <w:color w:val="111111"/>
                <w:sz w:val="15"/>
              </w:rPr>
              <w:t>Minimisation, encryption, access control</w:t>
            </w:r>
          </w:p>
        </w:tc>
        <w:tc>
          <w:tcPr>
            <w:tcW w:w="3213" w:type="dxa"/>
            <w:vAlign w:val="center"/>
          </w:tcPr>
          <w:p w14:paraId="670471F6" w14:textId="77777777" w:rsidR="006B0044" w:rsidRDefault="007133FF">
            <w:pPr>
              <w:spacing w:after="0"/>
            </w:pPr>
            <w:r>
              <w:rPr>
                <w:color w:val="111111"/>
                <w:sz w:val="15"/>
              </w:rPr>
              <w:t>Audit and incident records</w:t>
            </w:r>
          </w:p>
        </w:tc>
      </w:tr>
      <w:tr w:rsidR="006B0044" w14:paraId="463DD5F1" w14:textId="77777777">
        <w:trPr>
          <w:jc w:val="center"/>
        </w:trPr>
        <w:tc>
          <w:tcPr>
            <w:tcW w:w="3213" w:type="dxa"/>
            <w:vAlign w:val="center"/>
          </w:tcPr>
          <w:p w14:paraId="58D5B8CB" w14:textId="77777777" w:rsidR="006B0044" w:rsidRDefault="007133FF">
            <w:pPr>
              <w:spacing w:after="0"/>
            </w:pPr>
            <w:r>
              <w:rPr>
                <w:color w:val="111111"/>
                <w:sz w:val="15"/>
              </w:rPr>
              <w:t>Human factors</w:t>
            </w:r>
          </w:p>
        </w:tc>
        <w:tc>
          <w:tcPr>
            <w:tcW w:w="3213" w:type="dxa"/>
            <w:vAlign w:val="center"/>
          </w:tcPr>
          <w:p w14:paraId="1A1F1C04" w14:textId="77777777" w:rsidR="006B0044" w:rsidRDefault="007133FF">
            <w:pPr>
              <w:spacing w:after="0"/>
            </w:pPr>
            <w:r>
              <w:rPr>
                <w:color w:val="111111"/>
                <w:sz w:val="15"/>
              </w:rPr>
              <w:t>Training, explanation, escalation</w:t>
            </w:r>
          </w:p>
        </w:tc>
        <w:tc>
          <w:tcPr>
            <w:tcW w:w="3213" w:type="dxa"/>
            <w:vAlign w:val="center"/>
          </w:tcPr>
          <w:p w14:paraId="368277E1" w14:textId="77777777" w:rsidR="006B0044" w:rsidRDefault="007133FF">
            <w:pPr>
              <w:spacing w:after="0"/>
            </w:pPr>
            <w:r>
              <w:rPr>
                <w:color w:val="111111"/>
                <w:sz w:val="15"/>
              </w:rPr>
              <w:t>Task error and complaint trends</w:t>
            </w:r>
          </w:p>
        </w:tc>
      </w:tr>
    </w:tbl>
    <w:p w14:paraId="4D456B45" w14:textId="77777777" w:rsidR="006B0044" w:rsidRDefault="007133FF">
      <w:pPr>
        <w:spacing w:after="80"/>
        <w:jc w:val="both"/>
      </w:pPr>
      <w:r>
        <w:rPr>
          <w:color w:val="111111"/>
        </w:rPr>
        <w:t xml:space="preserve">Residual risk should be accepted only by a named authority with access to the supporting </w:t>
      </w:r>
      <w:r>
        <w:rPr>
          <w:color w:val="111111"/>
        </w:rPr>
        <w:t>evidence. Controls that depend on people, such as manual review or training, need capacity estimates and periodic competency checks. Controls that depend on technology need health monitoring and fallback behaviour. This distinction matters because a policy</w:t>
      </w:r>
      <w:r>
        <w:rPr>
          <w:color w:val="111111"/>
        </w:rPr>
        <w:t xml:space="preserve"> can appear comprehensive while failing operationally when reviewers are unavailable, logs are not examined, or alerts are routinely ignored.</w:t>
      </w:r>
    </w:p>
    <w:p w14:paraId="7B312568" w14:textId="77777777" w:rsidR="006B0044" w:rsidRDefault="007133FF">
      <w:pPr>
        <w:pStyle w:val="JASTEH2"/>
      </w:pPr>
      <w:r>
        <w:t>6.1 DETAILED ENGINEERING CONSIDERATIONS</w:t>
      </w:r>
    </w:p>
    <w:p w14:paraId="277503D7" w14:textId="77777777" w:rsidR="006B0044" w:rsidRDefault="007133FF">
      <w:pPr>
        <w:spacing w:after="80"/>
        <w:jc w:val="both"/>
      </w:pPr>
      <w:r>
        <w:rPr>
          <w:color w:val="111111"/>
        </w:rPr>
        <w:t>Requirements traceability should begin with a matrix that links the stated</w:t>
      </w:r>
      <w:r>
        <w:rPr>
          <w:color w:val="111111"/>
        </w:rPr>
        <w:t xml:space="preserve"> purpose of a layered and reproducible screenshot-authentication workflow to data elements, processing functions, interface behaviour, validation measures, and responsible roles. A requirement is incomplete when it names a feature but not the condition und</w:t>
      </w:r>
      <w:r>
        <w:rPr>
          <w:color w:val="111111"/>
        </w:rPr>
        <w:t>er which the feature must operate. Traceability also allows an auditor to determine whether a later software update changes a safety-relevant assumption or introduces a function that was never evaluated in the original protocol.</w:t>
      </w:r>
    </w:p>
    <w:p w14:paraId="4F2108BA" w14:textId="77777777" w:rsidR="006B0044" w:rsidRDefault="007133FF">
      <w:pPr>
        <w:spacing w:after="80"/>
        <w:jc w:val="both"/>
      </w:pPr>
      <w:r>
        <w:rPr>
          <w:color w:val="111111"/>
        </w:rPr>
        <w:t>The input specification mus</w:t>
      </w:r>
      <w:r>
        <w:rPr>
          <w:color w:val="111111"/>
        </w:rPr>
        <w:t>t distinguish raw observations, derived variables, contextual metadata, and reviewer annotations. For this application, relevant inputs include the original submitted file, cryptographic hashes, metadata, pixel structure, compression traces, OCR output, in</w:t>
      </w:r>
      <w:r>
        <w:rPr>
          <w:color w:val="111111"/>
        </w:rPr>
        <w:t xml:space="preserve">terface geometry, exported chats, and device-side artifacts. Each field requires a definition, allowable range, unit, timestamp convention, source identifier, missing-value code, and quality flag. Treating metadata as optional documentation rather than as </w:t>
      </w:r>
      <w:r>
        <w:rPr>
          <w:color w:val="111111"/>
        </w:rPr>
        <w:t>part of the analytical record would make it difficult to reproduce processing or explain why two apparently similar cases received different outputs.</w:t>
      </w:r>
    </w:p>
    <w:p w14:paraId="41589532" w14:textId="77777777" w:rsidR="006B0044" w:rsidRDefault="007133FF">
      <w:pPr>
        <w:spacing w:after="80"/>
        <w:jc w:val="both"/>
      </w:pPr>
      <w:r>
        <w:rPr>
          <w:color w:val="111111"/>
        </w:rPr>
        <w:t>Data-quality control should operate before, during, and after analysis. Pre-processing checks identify inc</w:t>
      </w:r>
      <w:r>
        <w:rPr>
          <w:color w:val="111111"/>
        </w:rPr>
        <w:t>omplete, corrupted, duplicated, or implausible records. In-process checks detect numerical instability, unsupported formats, and component failures. Post-process checks determine whether outputs are internally consistent and accompanied by the evidence nee</w:t>
      </w:r>
      <w:r>
        <w:rPr>
          <w:color w:val="111111"/>
        </w:rPr>
        <w:t>ded for interpretation. The system should preserve rejected records and rejection reasons for quality monitoring, while ensuring they do not silently enter a decision as valid low values.</w:t>
      </w:r>
    </w:p>
    <w:p w14:paraId="7E607FE5" w14:textId="77777777" w:rsidR="006B0044" w:rsidRDefault="007133FF">
      <w:pPr>
        <w:spacing w:after="80"/>
        <w:jc w:val="both"/>
      </w:pPr>
      <w:r>
        <w:rPr>
          <w:color w:val="111111"/>
        </w:rPr>
        <w:lastRenderedPageBreak/>
        <w:t xml:space="preserve">A modular architecture is preferable because analytical techniques, </w:t>
      </w:r>
      <w:r>
        <w:rPr>
          <w:color w:val="111111"/>
        </w:rPr>
        <w:t>devices, platforms, and standards evolve at different rates. Modules should exchange data through documented interfaces and should expose status codes rather than hiding failures behind default values. Containerisation or equivalent environment control can</w:t>
      </w:r>
      <w:r>
        <w:rPr>
          <w:color w:val="111111"/>
        </w:rPr>
        <w:t xml:space="preserve"> improve reproducibility, but it does not replace documentation of dependencies, random seeds, configuration files, and model artefacts. Reproducibility requires both executable software and a comprehensible record of how it was used.</w:t>
      </w:r>
    </w:p>
    <w:p w14:paraId="57176123" w14:textId="77777777" w:rsidR="006B0044" w:rsidRDefault="007133FF">
      <w:pPr>
        <w:spacing w:after="80"/>
        <w:jc w:val="both"/>
      </w:pPr>
      <w:r>
        <w:rPr>
          <w:color w:val="111111"/>
        </w:rPr>
        <w:t>Feature engineering s</w:t>
      </w:r>
      <w:r>
        <w:rPr>
          <w:color w:val="111111"/>
        </w:rPr>
        <w:t>hould be justified by the domain problem rather than by convenience alone. Candidate features may reflect patterns in digital-image forensics for messaging evidence (AbdWarif et al., 2016; Meena &amp; Tyagi, 2019), but their meaning can change across populatio</w:t>
      </w:r>
      <w:r>
        <w:rPr>
          <w:color w:val="111111"/>
        </w:rPr>
        <w:t>ns, devices, languages, or operating conditions, as illustrated by AI-generated and manipulated screenshot images (Ferdiansyah et al., 2025). Exploratory associations therefore should not automatically become decision rules. Stability analysis, ablation te</w:t>
      </w:r>
      <w:r>
        <w:rPr>
          <w:color w:val="111111"/>
        </w:rPr>
        <w:t>sting, and expert review can determine whether a feature contributes useful information, acts as a proxy for an irrelevant characteristic, or increases complexity without improving decisions.</w:t>
      </w:r>
    </w:p>
    <w:p w14:paraId="36F659C0" w14:textId="77777777" w:rsidR="006B0044" w:rsidRDefault="007133FF">
      <w:pPr>
        <w:spacing w:after="80"/>
        <w:jc w:val="both"/>
      </w:pPr>
      <w:r>
        <w:rPr>
          <w:color w:val="111111"/>
        </w:rPr>
        <w:t>When machine-learning or rule-based components are compared, the</w:t>
      </w:r>
      <w:r>
        <w:rPr>
          <w:color w:val="111111"/>
        </w:rPr>
        <w:t xml:space="preserve"> baseline must represent a credible alternative rather than an intentionally weak comparator. A simple and transparent baseline is valuable because it shows whether additional complexity produces a meaningful improvement. Comparisons should hold data parti</w:t>
      </w:r>
      <w:r>
        <w:rPr>
          <w:color w:val="111111"/>
        </w:rPr>
        <w:t>tions, evaluation conditions, and decision thresholds constant. If a more complex model offers only a small average gain while increasing latency, maintenance burden, or subgroup disparity, the simpler option may be preferable.</w:t>
      </w:r>
    </w:p>
    <w:p w14:paraId="23DDF304" w14:textId="77777777" w:rsidR="006B0044" w:rsidRDefault="007133FF">
      <w:pPr>
        <w:spacing w:after="80"/>
        <w:jc w:val="both"/>
      </w:pPr>
      <w:r>
        <w:rPr>
          <w:color w:val="111111"/>
        </w:rPr>
        <w:t>Uncertainty should be repres</w:t>
      </w:r>
      <w:r>
        <w:rPr>
          <w:color w:val="111111"/>
        </w:rPr>
        <w:t>ented explicitly at component and system levels. Component uncertainty can arise from poor input quality, ambiguous patterns, missing context, or an observation outside the development distribution. System-level uncertainty also reflects disagreement among</w:t>
      </w:r>
      <w:r>
        <w:rPr>
          <w:color w:val="111111"/>
        </w:rPr>
        <w:t xml:space="preserve"> components. The architecture should define when uncertainty produces an informational warning, requests additional evidence, routes the case to a reviewer, or causes the system to abstain. Abstention is a designed safety response, not an analytical failur</w:t>
      </w:r>
      <w:r>
        <w:rPr>
          <w:color w:val="111111"/>
        </w:rPr>
        <w:t>e.</w:t>
      </w:r>
    </w:p>
    <w:p w14:paraId="14C0B93F" w14:textId="77777777" w:rsidR="006B0044" w:rsidRDefault="007133FF">
      <w:pPr>
        <w:spacing w:after="80"/>
        <w:jc w:val="both"/>
      </w:pPr>
      <w:r>
        <w:rPr>
          <w:color w:val="111111"/>
        </w:rPr>
        <w:t>Threshold selection should follow the consequences of error. False acceptance and false rejection rarely have equal operational costs, and those costs may vary by case. Decision-curve analysis, cost-sensitive evaluation, or scenario-based stakeholder re</w:t>
      </w:r>
      <w:r>
        <w:rPr>
          <w:color w:val="111111"/>
        </w:rPr>
        <w:t>view can help identify defensible thresholds. Thresholds should not be selected solely to maximise one summary statistic. The final report must state the selected threshold, the resulting error trade-off, and the conditions under which a different threshol</w:t>
      </w:r>
      <w:r>
        <w:rPr>
          <w:color w:val="111111"/>
        </w:rPr>
        <w:t>d would be required.</w:t>
      </w:r>
    </w:p>
    <w:p w14:paraId="408F62BB" w14:textId="77777777" w:rsidR="006B0044" w:rsidRDefault="007133FF">
      <w:pPr>
        <w:spacing w:after="80"/>
        <w:jc w:val="both"/>
      </w:pPr>
      <w:r>
        <w:rPr>
          <w:color w:val="111111"/>
        </w:rPr>
        <w:t xml:space="preserve">Human review remains central because the intended users include digital-forensics examiners, incident-response teams, legal-technology researchers, auditors, and competent authorities. Reviewers need a defined task, access to </w:t>
      </w:r>
      <w:r>
        <w:rPr>
          <w:color w:val="111111"/>
        </w:rPr>
        <w:t>relevant evidence, competence requirements, and authority to override the system, since expert decision-making itself is subject to well-characterised cognitive fallacies and sources of bias (Dror, 2020). The interface should record the reviewer’s decision</w:t>
      </w:r>
      <w:r>
        <w:rPr>
          <w:color w:val="111111"/>
        </w:rPr>
        <w:t xml:space="preserve"> and rationale without pressuring agreement with the automated suggestion. Override rates are useful monitoring signals, but a high or low rate is not automatically good; the pattern must be interpreted alongside case difficulty, calibration, and reviewer </w:t>
      </w:r>
      <w:r>
        <w:rPr>
          <w:color w:val="111111"/>
        </w:rPr>
        <w:t>consistency.</w:t>
      </w:r>
    </w:p>
    <w:p w14:paraId="57CB664A" w14:textId="77777777" w:rsidR="006B0044" w:rsidRDefault="007133FF">
      <w:pPr>
        <w:spacing w:after="80"/>
        <w:jc w:val="both"/>
      </w:pPr>
      <w:r>
        <w:rPr>
          <w:color w:val="111111"/>
        </w:rPr>
        <w:t>Explanation design should answer practical questions: what evidence influenced the output, which evidence was missing, how reliable were the components, what limitations apply, and what action is recommended next. Technical feature rankings ma</w:t>
      </w:r>
      <w:r>
        <w:rPr>
          <w:color w:val="111111"/>
        </w:rPr>
        <w:t>y be useful to developers but insufficient for domain users. Explanations should be evaluated for correct interpretation, not merely for user preference. A visually attractive explanation can be harmful if it creates unwarranted confidence or conceals unce</w:t>
      </w:r>
      <w:r>
        <w:rPr>
          <w:color w:val="111111"/>
        </w:rPr>
        <w:t>rtainty.</w:t>
      </w:r>
    </w:p>
    <w:p w14:paraId="3120143A" w14:textId="77777777" w:rsidR="006B0044" w:rsidRDefault="007133FF">
      <w:pPr>
        <w:spacing w:after="80"/>
        <w:jc w:val="both"/>
      </w:pPr>
      <w:r>
        <w:rPr>
          <w:color w:val="111111"/>
        </w:rPr>
        <w:t>The audit trail should support reconstruction of a decision at the time it was made. Required elements include input identifiers and hashes where appropriate, consent or authority status, software and model versions, configuration values, componen</w:t>
      </w:r>
      <w:r>
        <w:rPr>
          <w:color w:val="111111"/>
        </w:rPr>
        <w:t>t warnings, timestamps, reviewer actions, and final disposition. Audit records need access controls and retention rules. They should be searchable for incident analysis while avoiding unnecessary replication of sensitive source information.</w:t>
      </w:r>
    </w:p>
    <w:p w14:paraId="36B4CBC3" w14:textId="77777777" w:rsidR="006B0044" w:rsidRDefault="007133FF">
      <w:pPr>
        <w:spacing w:after="80"/>
        <w:jc w:val="both"/>
      </w:pPr>
      <w:r>
        <w:rPr>
          <w:color w:val="111111"/>
        </w:rPr>
        <w:t>Security analys</w:t>
      </w:r>
      <w:r>
        <w:rPr>
          <w:color w:val="111111"/>
        </w:rPr>
        <w:t>is should adopt a threat model that identifies assets, actors, attack surfaces, and plausible consequences. Threats may include unauthorised access, manipulation of inputs, replay or duplication, model extraction, malicious files, compromised dependencies,</w:t>
      </w:r>
      <w:r>
        <w:rPr>
          <w:color w:val="111111"/>
        </w:rPr>
        <w:t xml:space="preserve"> or alteration of logs. Controls should be tested through code review, dependency scanning, authentication checks, adversarial scenarios, and recovery exercises. A system cannot be considered reliable if an attacker can bypass the analytical safeguards thr</w:t>
      </w:r>
      <w:r>
        <w:rPr>
          <w:color w:val="111111"/>
        </w:rPr>
        <w:t>ough a weaker operational interface.</w:t>
      </w:r>
    </w:p>
    <w:p w14:paraId="50F9D7BF" w14:textId="77777777" w:rsidR="006B0044" w:rsidRDefault="007133FF">
      <w:pPr>
        <w:spacing w:after="80"/>
        <w:jc w:val="both"/>
      </w:pPr>
      <w:r>
        <w:rPr>
          <w:color w:val="111111"/>
        </w:rPr>
        <w:t>Privacy-by-design requires limiting collection to the declared purpose and providing a documented retention schedule. Pseudonymisation may reduce exposure but does not eliminate re-identification risk when contextual fi</w:t>
      </w:r>
      <w:r>
        <w:rPr>
          <w:color w:val="111111"/>
        </w:rPr>
        <w:t>elds are rich. Access should be role-based and periodically reviewed. Privacy testing should include export, backup, logging, and support workflows because sensitive data often escape the primary database through secondary operational processes rather than</w:t>
      </w:r>
      <w:r>
        <w:rPr>
          <w:color w:val="111111"/>
        </w:rPr>
        <w:t xml:space="preserve"> through the intended analytical path.</w:t>
      </w:r>
    </w:p>
    <w:p w14:paraId="1BD6A769" w14:textId="77777777" w:rsidR="006B0044" w:rsidRDefault="007133FF">
      <w:pPr>
        <w:spacing w:after="80"/>
        <w:jc w:val="both"/>
      </w:pPr>
      <w:r>
        <w:rPr>
          <w:color w:val="111111"/>
        </w:rPr>
        <w:t>Performance monitoring after deployment should cover repeatability, sensitivity and specificity by manipulation type, false-positive rate, examiner agreement, robustness across devices, and completeness of the audit t</w:t>
      </w:r>
      <w:r>
        <w:rPr>
          <w:color w:val="111111"/>
        </w:rPr>
        <w:t xml:space="preserve">rail. Monitoring needs reference ranges, alert thresholds, and an investigation procedure. A change in output distribution may reflect </w:t>
      </w:r>
      <w:r>
        <w:rPr>
          <w:color w:val="111111"/>
        </w:rPr>
        <w:lastRenderedPageBreak/>
        <w:t>population change, a platform update, device replacement, reviewer behaviour, or a genuine change in the underlying pheno</w:t>
      </w:r>
      <w:r>
        <w:rPr>
          <w:color w:val="111111"/>
        </w:rPr>
        <w:t>menon. Automated retraining should not occur merely because drift is detected; the cause and safety consequences must be understood before the production system is modified.</w:t>
      </w:r>
    </w:p>
    <w:p w14:paraId="14E125A3" w14:textId="77777777" w:rsidR="006B0044" w:rsidRDefault="007133FF">
      <w:pPr>
        <w:spacing w:after="80"/>
        <w:jc w:val="both"/>
      </w:pPr>
      <w:r>
        <w:rPr>
          <w:color w:val="111111"/>
        </w:rPr>
        <w:t>Subgroup analysis should be planned before final evaluation. Relevant groupings ma</w:t>
      </w:r>
      <w:r>
        <w:rPr>
          <w:color w:val="111111"/>
        </w:rPr>
        <w:t>y involve language, age, device, environment, experience, accessibility requirement, or service setting. Small groups require careful uncertainty reporting and should not be omitted simply because estimates are less precise. If a subgroup cannot be evaluat</w:t>
      </w:r>
      <w:r>
        <w:rPr>
          <w:color w:val="111111"/>
        </w:rPr>
        <w:t>ed adequately, the limitation should define a deployment restriction or a targeted data-collection priority rather than being reduced to a brief caveat.</w:t>
      </w:r>
    </w:p>
    <w:p w14:paraId="1C6DA46D" w14:textId="77777777" w:rsidR="006B0044" w:rsidRDefault="007133FF">
      <w:pPr>
        <w:spacing w:after="80"/>
        <w:jc w:val="both"/>
      </w:pPr>
      <w:r>
        <w:rPr>
          <w:color w:val="111111"/>
        </w:rPr>
        <w:t>Usability evaluation should use representative tasks and realistic constraints. Participants should enc</w:t>
      </w:r>
      <w:r>
        <w:rPr>
          <w:color w:val="111111"/>
        </w:rPr>
        <w:t>ounter routine cases, ambiguous evidence, system warnings, and a recoverable failure. Researchers should measure task completion, time, navigation errors, interpretation, confidence calibration, and use of help or escalation. Think-aloud methods and post-t</w:t>
      </w:r>
      <w:r>
        <w:rPr>
          <w:color w:val="111111"/>
        </w:rPr>
        <w:t>ask interviews can explain why an error occurred. Satisfaction scores alone cannot establish that users understood the output or relied on it appropriately.</w:t>
      </w:r>
    </w:p>
    <w:p w14:paraId="3549A4A4" w14:textId="77777777" w:rsidR="006B0044" w:rsidRDefault="007133FF">
      <w:pPr>
        <w:spacing w:after="80"/>
        <w:jc w:val="both"/>
      </w:pPr>
      <w:r>
        <w:rPr>
          <w:color w:val="111111"/>
        </w:rPr>
        <w:t>Operational resilience requires graceful degradation. When connectivity, sensors, external services</w:t>
      </w:r>
      <w:r>
        <w:rPr>
          <w:color w:val="111111"/>
        </w:rPr>
        <w:t>, or analytical modules are unavailable, the system should preserve data safely, communicate status accurately, and provide an alternative workflow. Recovery testing should confirm that queued records are processed once, not lost or duplicated, and that ti</w:t>
      </w:r>
      <w:r>
        <w:rPr>
          <w:color w:val="111111"/>
        </w:rPr>
        <w:t>mestamps remain interpretable. Business-continuity plans should identify minimum functions, responsible personnel, backup locations, and the maximum acceptable interruption.</w:t>
      </w:r>
    </w:p>
    <w:p w14:paraId="653E0683" w14:textId="77777777" w:rsidR="006B0044" w:rsidRDefault="007133FF">
      <w:pPr>
        <w:spacing w:after="80"/>
        <w:jc w:val="both"/>
      </w:pPr>
      <w:r>
        <w:rPr>
          <w:color w:val="111111"/>
        </w:rPr>
        <w:t>A staged implementation is necessary because a controlled forensic laboratory work</w:t>
      </w:r>
      <w:r>
        <w:rPr>
          <w:color w:val="111111"/>
        </w:rPr>
        <w:t>flow with validated tools, recorded parameters, immutable evidence copies, peer verification, and bounded conclusions. The offline stage verifies component behaviour; a sandbox stage tests integration without affecting real decisions; a limited pilot exami</w:t>
      </w:r>
      <w:r>
        <w:rPr>
          <w:color w:val="111111"/>
        </w:rPr>
        <w:t>nes usability and workflow; supervised operation evaluates real-world errors; and broader release occurs only after predefined criteria are met. Each stage should produce a decision record documenting evidence, unresolved risks, corrective actions, and app</w:t>
      </w:r>
      <w:r>
        <w:rPr>
          <w:color w:val="111111"/>
        </w:rPr>
        <w:t>roval to proceed.</w:t>
      </w:r>
    </w:p>
    <w:p w14:paraId="178CAEC0" w14:textId="77777777" w:rsidR="006B0044" w:rsidRDefault="007133FF">
      <w:pPr>
        <w:spacing w:after="80"/>
        <w:jc w:val="both"/>
      </w:pPr>
      <w:r>
        <w:rPr>
          <w:color w:val="111111"/>
        </w:rPr>
        <w:t>Prototype evaluation for a layered and reproducible screenshot-authentication workflow should use an implementation dossier prepared before testing begins. The dossier should contain the architecture diagram, data dictionary, software bil</w:t>
      </w:r>
      <w:r>
        <w:rPr>
          <w:color w:val="111111"/>
        </w:rPr>
        <w:t>l of materials, configuration baseline, test cases, risk register, and decision log. Preparing these materials early reveals missing assumptions and prevents documentation from being reconstructed retrospectively after favourable results are known. The dos</w:t>
      </w:r>
      <w:r>
        <w:rPr>
          <w:color w:val="111111"/>
        </w:rPr>
        <w:t>sier also provides a stable reference for independent reviewers and later replication.</w:t>
      </w:r>
    </w:p>
    <w:p w14:paraId="0B18C974" w14:textId="77777777" w:rsidR="006B0044" w:rsidRDefault="007133FF">
      <w:pPr>
        <w:spacing w:after="80"/>
        <w:jc w:val="both"/>
      </w:pPr>
      <w:r>
        <w:rPr>
          <w:color w:val="111111"/>
        </w:rPr>
        <w:t xml:space="preserve">Test cases should be derived from requirements and hazards. Positive cases confirm expected functions, boundary cases examine limits, negative cases verify rejection or </w:t>
      </w:r>
      <w:r>
        <w:rPr>
          <w:color w:val="111111"/>
        </w:rPr>
        <w:t xml:space="preserve">abstention, and recovery cases examine behaviour after interruption or corrupted input. Every critical requirement should map to at least one test, and every high-severity hazard should map to a control verification. Coverage should be reported explicitly </w:t>
      </w:r>
      <w:r>
        <w:rPr>
          <w:color w:val="111111"/>
        </w:rPr>
        <w:t>rather than inferred from the number of tests conducted.</w:t>
      </w:r>
    </w:p>
    <w:p w14:paraId="50F5287A" w14:textId="77777777" w:rsidR="006B0044" w:rsidRDefault="007133FF">
      <w:pPr>
        <w:spacing w:after="80"/>
        <w:jc w:val="both"/>
      </w:pPr>
      <w:r>
        <w:rPr>
          <w:color w:val="111111"/>
        </w:rPr>
        <w:t>Pilot sampling should represent the intended operating range, including common cases and difficult conditions. Convenience samples can be useful for early debugging but cannot establish deployment re</w:t>
      </w:r>
      <w:r>
        <w:rPr>
          <w:color w:val="111111"/>
        </w:rPr>
        <w:t xml:space="preserve">adiness. Recruitment and case selection should document who or what is absent from the evidence. Where rare but serious events cannot be sampled prospectively, carefully designed simulations or retrospective challenge sets may supplement—but should not be </w:t>
      </w:r>
      <w:r>
        <w:rPr>
          <w:color w:val="111111"/>
        </w:rPr>
        <w:t>confused with—field effectiveness evidence.</w:t>
      </w:r>
    </w:p>
    <w:p w14:paraId="681EB925" w14:textId="77777777" w:rsidR="006B0044" w:rsidRDefault="007133FF">
      <w:pPr>
        <w:spacing w:after="80"/>
        <w:jc w:val="both"/>
      </w:pPr>
      <w:r>
        <w:rPr>
          <w:color w:val="111111"/>
        </w:rPr>
        <w:t xml:space="preserve">Quantitative analysis should report uncertainty and avoid excessive precision. Confidence intervals, bootstrap estimates, or repeated-test variation can indicate whether apparent differences are stable. Multiple </w:t>
      </w:r>
      <w:r>
        <w:rPr>
          <w:color w:val="111111"/>
        </w:rPr>
        <w:t>comparisons and repeated tuning on the same validation set can create optimistic findings. A protected final test set, independent replication, or temporal validation helps reduce this risk. Statistical significance should be interpreted together with oper</w:t>
      </w:r>
      <w:r>
        <w:rPr>
          <w:color w:val="111111"/>
        </w:rPr>
        <w:t>ational magnitude and consequences.</w:t>
      </w:r>
    </w:p>
    <w:p w14:paraId="7DB19EB3" w14:textId="77777777" w:rsidR="006B0044" w:rsidRDefault="007133FF">
      <w:pPr>
        <w:spacing w:after="80"/>
        <w:jc w:val="both"/>
      </w:pPr>
      <w:r>
        <w:rPr>
          <w:color w:val="111111"/>
        </w:rPr>
        <w:t>Qualitative evidence can clarify failures that numeric metrics compress into a single category. Structured review of error examples, user comments, and incident narratives should identify recurring mechanisms and context</w:t>
      </w:r>
      <w:r>
        <w:rPr>
          <w:color w:val="111111"/>
        </w:rPr>
        <w:t>ual triggers. Coding procedures need definitions and reviewer checks when qualitative categories influence design decisions. Representative examples may be reported after appropriate de-identification, while ensuring that selected examples do not replace s</w:t>
      </w:r>
      <w:r>
        <w:rPr>
          <w:color w:val="111111"/>
        </w:rPr>
        <w:t>ystematic analysis of the entire evaluation set.</w:t>
      </w:r>
    </w:p>
    <w:p w14:paraId="22222633" w14:textId="77777777" w:rsidR="006B0044" w:rsidRDefault="007133FF">
      <w:pPr>
        <w:spacing w:after="80"/>
        <w:jc w:val="both"/>
      </w:pPr>
      <w:r>
        <w:rPr>
          <w:color w:val="111111"/>
        </w:rPr>
        <w:t xml:space="preserve">Acceptance criteria should be hierarchical. Critical safety, privacy, security, and data-integrity requirements must pass before optimisation of convenience or speed. Secondary targets can guide improvement </w:t>
      </w:r>
      <w:r>
        <w:rPr>
          <w:color w:val="111111"/>
        </w:rPr>
        <w:t xml:space="preserve">but should not compensate for a failed critical control. The evaluation report should list every criterion, observed result, disposition, and corrective action. Conditional acceptance must identify an owner and deadline rather than remaining an indefinite </w:t>
      </w:r>
      <w:r>
        <w:rPr>
          <w:color w:val="111111"/>
        </w:rPr>
        <w:t>exception.</w:t>
      </w:r>
    </w:p>
    <w:p w14:paraId="13203F08" w14:textId="77777777" w:rsidR="006B0044" w:rsidRDefault="007133FF">
      <w:pPr>
        <w:spacing w:after="80"/>
        <w:jc w:val="both"/>
      </w:pPr>
      <w:r>
        <w:rPr>
          <w:color w:val="111111"/>
        </w:rPr>
        <w:t>External review is valuable when the development team has made many interconnected design choices. Reviewers can examine whether the evidence supports the declared operating boundary, whether important comparators or risks were omitted, and whet</w:t>
      </w:r>
      <w:r>
        <w:rPr>
          <w:color w:val="111111"/>
        </w:rPr>
        <w:t>her explanations overstate certainty. External review does not transfer accountability away from the deploying organisation, but it can expose assumptions that have become normalised within the project team.</w:t>
      </w:r>
    </w:p>
    <w:p w14:paraId="571EDAD7" w14:textId="77777777" w:rsidR="006B0044" w:rsidRDefault="007133FF">
      <w:pPr>
        <w:spacing w:after="80"/>
        <w:jc w:val="both"/>
      </w:pPr>
      <w:r>
        <w:rPr>
          <w:color w:val="111111"/>
        </w:rPr>
        <w:lastRenderedPageBreak/>
        <w:t>The service workflow should define how outputs r</w:t>
      </w:r>
      <w:r>
        <w:rPr>
          <w:color w:val="111111"/>
        </w:rPr>
        <w:t>each digital-forensics examiners, incident-response teams, legal-technology researchers, auditors, and competent authorities, how acknowledgement is recorded, and what happens when an output is not reviewed in time. Queue prioritisation, escalation timing,</w:t>
      </w:r>
      <w:r>
        <w:rPr>
          <w:color w:val="111111"/>
        </w:rPr>
        <w:t xml:space="preserve"> workload limits, and handover procedures can materially affect outcomes even when the analytical component performs as specified. Operational validation should therefore measure the complete pathway from input acquisition to documented action, not only co</w:t>
      </w:r>
      <w:r>
        <w:rPr>
          <w:color w:val="111111"/>
        </w:rPr>
        <w:t>mputation in isolation.</w:t>
      </w:r>
    </w:p>
    <w:p w14:paraId="55BE4824" w14:textId="77777777" w:rsidR="006B0044" w:rsidRDefault="007133FF">
      <w:pPr>
        <w:spacing w:after="80"/>
        <w:jc w:val="both"/>
      </w:pPr>
      <w:r>
        <w:rPr>
          <w:color w:val="111111"/>
        </w:rPr>
        <w:t>Documentation should be layered for different audiences. A concise user guide explains purpose, limitations, routine tasks, warnings, and support. A reviewer guide explains interpretation and escalation. A technical manual records a</w:t>
      </w:r>
      <w:r>
        <w:rPr>
          <w:color w:val="111111"/>
        </w:rPr>
        <w:t>rchitecture, installation, configuration, interfaces, monitoring, backup, and recovery. A governance file records approvals, risk decisions, incident procedures, and change control. Inconsistencies among these documents should block release until corrected</w:t>
      </w:r>
      <w:r>
        <w:rPr>
          <w:color w:val="111111"/>
        </w:rPr>
        <w:t>.</w:t>
      </w:r>
    </w:p>
    <w:p w14:paraId="7FE26557" w14:textId="77777777" w:rsidR="006B0044" w:rsidRDefault="007133FF">
      <w:pPr>
        <w:spacing w:after="80"/>
        <w:jc w:val="both"/>
      </w:pPr>
      <w:r>
        <w:rPr>
          <w:color w:val="111111"/>
        </w:rPr>
        <w:t>Sustainability also depends on data stewardship. The organisation should determine who can correct records, how corrections propagate to derived outputs, how archived versions remain interpretable, and when data should be destroyed. Long-term access to a</w:t>
      </w:r>
      <w:r>
        <w:rPr>
          <w:color w:val="111111"/>
        </w:rPr>
        <w:t xml:space="preserve"> file is not equivalent to preservation if formats, software, schemas, or contextual definitions are lost. Periodic restoration and migration tests should be part of maintenance.</w:t>
      </w:r>
    </w:p>
    <w:p w14:paraId="2B56B9C3" w14:textId="77777777" w:rsidR="006B0044" w:rsidRDefault="007133FF">
      <w:pPr>
        <w:spacing w:after="80"/>
        <w:jc w:val="both"/>
      </w:pPr>
      <w:r>
        <w:rPr>
          <w:color w:val="111111"/>
        </w:rPr>
        <w:t>Decommissioning criteria should be planned before deployment. A system may ne</w:t>
      </w:r>
      <w:r>
        <w:rPr>
          <w:color w:val="111111"/>
        </w:rPr>
        <w:t xml:space="preserve">ed retirement because dependencies are unsupported, performance drifts beyond correction, the purpose changes, risks become unacceptable, or a superior process replaces it. Decommissioning must preserve required records, revoke access, remove credentials, </w:t>
      </w:r>
      <w:r>
        <w:rPr>
          <w:color w:val="111111"/>
        </w:rPr>
        <w:t>communicate changes, and provide continuity for users. Without such planning, obsolete components can remain active and create hidden operational or security exposure.</w:t>
      </w:r>
    </w:p>
    <w:p w14:paraId="39212AC2" w14:textId="77777777" w:rsidR="006B0044" w:rsidRDefault="007133FF">
      <w:pPr>
        <w:spacing w:after="80"/>
        <w:jc w:val="both"/>
      </w:pPr>
      <w:r>
        <w:rPr>
          <w:color w:val="111111"/>
        </w:rPr>
        <w:t>The proposed framework should ultimately be judged by whether it enables disciplined lea</w:t>
      </w:r>
      <w:r>
        <w:rPr>
          <w:color w:val="111111"/>
        </w:rPr>
        <w:t>rning. Monitoring and incident analysis should feed a controlled improvement cycle: detect a problem, investigate its cause, define a corrective action, test the change, obtain approval, deploy gradually, and verify effectiveness. This cycle converts opera</w:t>
      </w:r>
      <w:r>
        <w:rPr>
          <w:color w:val="111111"/>
        </w:rPr>
        <w:t>tional experience into evidence while preventing rapid untested modifications from undermining comparability, safety, or accountability.</w:t>
      </w:r>
    </w:p>
    <w:p w14:paraId="487221CD" w14:textId="77777777" w:rsidR="006B0044" w:rsidRDefault="007133FF">
      <w:pPr>
        <w:spacing w:after="80"/>
        <w:jc w:val="both"/>
      </w:pPr>
      <w:r>
        <w:rPr>
          <w:color w:val="111111"/>
        </w:rPr>
        <w:t>Decision accountability should remain visible across organisational boundaries. When vendors provide devices, algorithm</w:t>
      </w:r>
      <w:r>
        <w:rPr>
          <w:color w:val="111111"/>
        </w:rPr>
        <w:t>s, hosting, or support, contracts should specify access to technical evidence, notification of material changes, vulnerability handling, data-return procedures, and assistance during incidents. Procurement teams should evaluate maintainability and auditabi</w:t>
      </w:r>
      <w:r>
        <w:rPr>
          <w:color w:val="111111"/>
        </w:rPr>
        <w:t>lity alongside advertised performance. Proprietary restrictions that prevent meaningful validation should be treated as a deployment risk rather than as a minor commercial detail.</w:t>
      </w:r>
    </w:p>
    <w:p w14:paraId="5D87A0B2" w14:textId="77777777" w:rsidR="006B0044" w:rsidRDefault="007133FF">
      <w:pPr>
        <w:spacing w:after="80"/>
        <w:jc w:val="both"/>
      </w:pPr>
      <w:r>
        <w:rPr>
          <w:color w:val="111111"/>
        </w:rPr>
        <w:t>Environmental and infrastructure constraints should be captured during requi</w:t>
      </w:r>
      <w:r>
        <w:rPr>
          <w:color w:val="111111"/>
        </w:rPr>
        <w:t>rements analysis. Power stability, network coverage, device replacement cycles, physical workspace, noise, lighting, and availability of skilled support may determine whether laboratory performance is transferable. Field tests should record these condition</w:t>
      </w:r>
      <w:r>
        <w:rPr>
          <w:color w:val="111111"/>
        </w:rPr>
        <w:t>s systematically. If the system requires resources unavailable in the intended setting, the design should be simplified or the operating boundary narrowed before users become dependent on an unreliable service.</w:t>
      </w:r>
    </w:p>
    <w:p w14:paraId="372CA3BB" w14:textId="77777777" w:rsidR="006B0044" w:rsidRDefault="007133FF">
      <w:pPr>
        <w:spacing w:after="80"/>
        <w:jc w:val="both"/>
      </w:pPr>
      <w:r>
        <w:rPr>
          <w:color w:val="111111"/>
        </w:rPr>
        <w:t>Quality assurance should include routine samp</w:t>
      </w:r>
      <w:r>
        <w:rPr>
          <w:color w:val="111111"/>
        </w:rPr>
        <w:t>ling of completed cases for independent review. Sampling can combine random selection with targeted review of warnings, overrides, edge cases, and high-consequence outcomes. Findings should feed calibration, training, interface, and process improvements. R</w:t>
      </w:r>
      <w:r>
        <w:rPr>
          <w:color w:val="111111"/>
        </w:rPr>
        <w:t>eviewers need protection from hindsight bias: they should assess the evidence that was available at the decision time, then separately examine later information that reveals the outcome.</w:t>
      </w:r>
    </w:p>
    <w:p w14:paraId="46921952" w14:textId="77777777" w:rsidR="006B0044" w:rsidRDefault="007133FF">
      <w:pPr>
        <w:spacing w:after="80"/>
        <w:jc w:val="both"/>
      </w:pPr>
      <w:r>
        <w:rPr>
          <w:color w:val="111111"/>
        </w:rPr>
        <w:t xml:space="preserve">Communication of limitations should be concrete and action-oriented. </w:t>
      </w:r>
      <w:r>
        <w:rPr>
          <w:color w:val="111111"/>
        </w:rPr>
        <w:t>Statements such as ‘results may vary’ provide little protection. Users need to know which inputs, populations, devices, environments, or attack types were not validated; which warnings require escalation; and which decisions must not rely on the system alo</w:t>
      </w:r>
      <w:r>
        <w:rPr>
          <w:color w:val="111111"/>
        </w:rPr>
        <w:t>ne. Limitations should appear at relevant interaction points and in reports, not only in a long policy page that routine users rarely consult.</w:t>
      </w:r>
    </w:p>
    <w:p w14:paraId="6DE23734" w14:textId="77777777" w:rsidR="006B0044" w:rsidRDefault="007133FF">
      <w:pPr>
        <w:spacing w:after="80"/>
        <w:jc w:val="both"/>
      </w:pPr>
      <w:r>
        <w:rPr>
          <w:color w:val="111111"/>
        </w:rPr>
        <w:t xml:space="preserve">The research record should preserve unsuccessful configurations and reasons for rejection. Failed approaches can </w:t>
      </w:r>
      <w:r>
        <w:rPr>
          <w:color w:val="111111"/>
        </w:rPr>
        <w:t>reveal sensitivity to assumptions, prevent repetition of ineffective work, and demonstrate that the final design was not selected through undisclosed trial and error. Where full artefact sharing is restricted, researchers can still report configuration ran</w:t>
      </w:r>
      <w:r>
        <w:rPr>
          <w:color w:val="111111"/>
        </w:rPr>
        <w:t>ges, test logic, summary failures, and reproducibility instructions without disclosing protected or sensitive source material.</w:t>
      </w:r>
    </w:p>
    <w:p w14:paraId="1A6CAC9F" w14:textId="77777777" w:rsidR="006B0044" w:rsidRDefault="007133FF">
      <w:pPr>
        <w:spacing w:after="80"/>
        <w:jc w:val="both"/>
      </w:pPr>
      <w:r>
        <w:rPr>
          <w:color w:val="111111"/>
        </w:rPr>
        <w:t>Before publication or operational release, terminology should be reviewed for consistency across the manuscript, software, interf</w:t>
      </w:r>
      <w:r>
        <w:rPr>
          <w:color w:val="111111"/>
        </w:rPr>
        <w:t xml:space="preserve">ace, and training materials. Terms such as detection, authentication, prediction, indication, recommendation, and diagnosis carry different evidentiary meanings. Using them interchangeably can create claims that exceed the validated function. A controlled </w:t>
      </w:r>
      <w:r>
        <w:rPr>
          <w:color w:val="111111"/>
        </w:rPr>
        <w:t>glossary and editorial review help ensure that technical precision is maintained when results are communicated to non-specialist audiences.</w:t>
      </w:r>
    </w:p>
    <w:p w14:paraId="5627046F" w14:textId="77777777" w:rsidR="006B0044" w:rsidRDefault="007133FF">
      <w:pPr>
        <w:pStyle w:val="JASTEH1"/>
      </w:pPr>
      <w:r>
        <w:lastRenderedPageBreak/>
        <w:t>7. IMPLEMENTATION AND OPERATIONAL ROADMAP</w:t>
      </w:r>
    </w:p>
    <w:p w14:paraId="31E20AC4" w14:textId="77777777" w:rsidR="006B0044" w:rsidRDefault="007133FF">
      <w:pPr>
        <w:spacing w:after="80"/>
        <w:jc w:val="both"/>
      </w:pPr>
      <w:r>
        <w:rPr>
          <w:color w:val="111111"/>
        </w:rPr>
        <w:t xml:space="preserve">The proposed deployment model is a controlled forensic </w:t>
      </w:r>
      <w:r>
        <w:rPr>
          <w:color w:val="111111"/>
        </w:rPr>
        <w:t>laboratory workflow with validated tools, recorded parameters, immutable evidence copies, peer verification, and bounded conclusions, consistent with established guidance on integrating forensic techniques into incident response (National Institute of Stan</w:t>
      </w:r>
      <w:r>
        <w:rPr>
          <w:color w:val="111111"/>
        </w:rPr>
        <w:t xml:space="preserve">dards and Technology, 2006). Implementation should proceed from offline verification to a limited pilot, supervised operational use, and only then broader release. Each stage needs entry and exit criteria covering technical performance, safety, usability, </w:t>
      </w:r>
      <w:r>
        <w:rPr>
          <w:color w:val="111111"/>
        </w:rPr>
        <w:t>training, support capacity, and unresolved risks.</w:t>
      </w:r>
    </w:p>
    <w:p w14:paraId="47C3BF05" w14:textId="77777777" w:rsidR="006B0044" w:rsidRDefault="007133FF">
      <w:pPr>
        <w:spacing w:after="80"/>
        <w:jc w:val="both"/>
      </w:pPr>
      <w:r>
        <w:rPr>
          <w:color w:val="111111"/>
        </w:rPr>
        <w:t>Operational monitoring should distinguish service health from decision quality. Availability, latency, battery use, failed uploads, and processing errors describe service health; calibration drift, false-al</w:t>
      </w:r>
      <w:r>
        <w:rPr>
          <w:color w:val="111111"/>
        </w:rPr>
        <w:t>ert patterns, reviewer overrides, user complaints, and subgroup disparities describe decision quality. Both categories require dashboards and predefined investigation thresholds.</w:t>
      </w:r>
    </w:p>
    <w:p w14:paraId="3B83F709" w14:textId="77777777" w:rsidR="006B0044" w:rsidRDefault="007133FF">
      <w:pPr>
        <w:spacing w:before="100" w:after="60"/>
        <w:jc w:val="center"/>
      </w:pPr>
      <w:r>
        <w:rPr>
          <w:b/>
          <w:color w:val="111111"/>
          <w:sz w:val="18"/>
        </w:rPr>
        <w:t>Table 6. Staged Implementation Roadmap</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099E1342" w14:textId="77777777">
        <w:trPr>
          <w:jc w:val="center"/>
        </w:trPr>
        <w:tc>
          <w:tcPr>
            <w:tcW w:w="3213" w:type="dxa"/>
            <w:shd w:val="clear" w:color="auto" w:fill="2F66B3"/>
          </w:tcPr>
          <w:p w14:paraId="50A8F467" w14:textId="77777777" w:rsidR="006B0044" w:rsidRDefault="007133FF">
            <w:pPr>
              <w:jc w:val="center"/>
            </w:pPr>
            <w:r>
              <w:rPr>
                <w:b/>
                <w:color w:val="FFFFFF"/>
                <w:sz w:val="15"/>
              </w:rPr>
              <w:t>Stage</w:t>
            </w:r>
          </w:p>
        </w:tc>
        <w:tc>
          <w:tcPr>
            <w:tcW w:w="3213" w:type="dxa"/>
            <w:shd w:val="clear" w:color="auto" w:fill="2F66B3"/>
          </w:tcPr>
          <w:p w14:paraId="7CB4EEFA" w14:textId="77777777" w:rsidR="006B0044" w:rsidRDefault="007133FF">
            <w:pPr>
              <w:jc w:val="center"/>
            </w:pPr>
            <w:r>
              <w:rPr>
                <w:b/>
                <w:color w:val="FFFFFF"/>
                <w:sz w:val="15"/>
              </w:rPr>
              <w:t>Purpose</w:t>
            </w:r>
          </w:p>
        </w:tc>
        <w:tc>
          <w:tcPr>
            <w:tcW w:w="3213" w:type="dxa"/>
            <w:shd w:val="clear" w:color="auto" w:fill="2F66B3"/>
          </w:tcPr>
          <w:p w14:paraId="4440EBAD" w14:textId="77777777" w:rsidR="006B0044" w:rsidRDefault="007133FF">
            <w:pPr>
              <w:jc w:val="center"/>
            </w:pPr>
            <w:r>
              <w:rPr>
                <w:b/>
                <w:color w:val="FFFFFF"/>
                <w:sz w:val="15"/>
              </w:rPr>
              <w:t>Exit criterion</w:t>
            </w:r>
          </w:p>
        </w:tc>
      </w:tr>
      <w:tr w:rsidR="006B0044" w14:paraId="4B0BEE9D" w14:textId="77777777">
        <w:trPr>
          <w:jc w:val="center"/>
        </w:trPr>
        <w:tc>
          <w:tcPr>
            <w:tcW w:w="3213" w:type="dxa"/>
            <w:vAlign w:val="center"/>
          </w:tcPr>
          <w:p w14:paraId="1055826D" w14:textId="77777777" w:rsidR="006B0044" w:rsidRDefault="007133FF">
            <w:pPr>
              <w:spacing w:after="0"/>
            </w:pPr>
            <w:r>
              <w:rPr>
                <w:color w:val="111111"/>
                <w:sz w:val="15"/>
              </w:rPr>
              <w:t>Offline verification</w:t>
            </w:r>
          </w:p>
        </w:tc>
        <w:tc>
          <w:tcPr>
            <w:tcW w:w="3213" w:type="dxa"/>
            <w:vAlign w:val="center"/>
          </w:tcPr>
          <w:p w14:paraId="3B7952F5" w14:textId="77777777" w:rsidR="006B0044" w:rsidRDefault="007133FF">
            <w:pPr>
              <w:spacing w:after="0"/>
            </w:pPr>
            <w:r>
              <w:rPr>
                <w:color w:val="111111"/>
                <w:sz w:val="15"/>
              </w:rPr>
              <w:t>Check component correctness and reproducibility</w:t>
            </w:r>
          </w:p>
        </w:tc>
        <w:tc>
          <w:tcPr>
            <w:tcW w:w="3213" w:type="dxa"/>
            <w:vAlign w:val="center"/>
          </w:tcPr>
          <w:p w14:paraId="38706628" w14:textId="77777777" w:rsidR="006B0044" w:rsidRDefault="007133FF">
            <w:pPr>
              <w:spacing w:after="0"/>
            </w:pPr>
            <w:r>
              <w:rPr>
                <w:color w:val="111111"/>
                <w:sz w:val="15"/>
              </w:rPr>
              <w:t>Documented pass/fail evidence</w:t>
            </w:r>
          </w:p>
        </w:tc>
      </w:tr>
      <w:tr w:rsidR="006B0044" w14:paraId="6B3825D8" w14:textId="77777777">
        <w:trPr>
          <w:jc w:val="center"/>
        </w:trPr>
        <w:tc>
          <w:tcPr>
            <w:tcW w:w="3213" w:type="dxa"/>
            <w:vAlign w:val="center"/>
          </w:tcPr>
          <w:p w14:paraId="23CDCDF6" w14:textId="77777777" w:rsidR="006B0044" w:rsidRDefault="007133FF">
            <w:pPr>
              <w:spacing w:after="0"/>
            </w:pPr>
            <w:r>
              <w:rPr>
                <w:color w:val="111111"/>
                <w:sz w:val="15"/>
              </w:rPr>
              <w:t>Limited pilot</w:t>
            </w:r>
          </w:p>
        </w:tc>
        <w:tc>
          <w:tcPr>
            <w:tcW w:w="3213" w:type="dxa"/>
            <w:vAlign w:val="center"/>
          </w:tcPr>
          <w:p w14:paraId="29631070" w14:textId="77777777" w:rsidR="006B0044" w:rsidRDefault="007133FF">
            <w:pPr>
              <w:spacing w:after="0"/>
            </w:pPr>
            <w:r>
              <w:rPr>
                <w:color w:val="111111"/>
                <w:sz w:val="15"/>
              </w:rPr>
              <w:t>Assess usability, workflow, and safety</w:t>
            </w:r>
          </w:p>
        </w:tc>
        <w:tc>
          <w:tcPr>
            <w:tcW w:w="3213" w:type="dxa"/>
            <w:vAlign w:val="center"/>
          </w:tcPr>
          <w:p w14:paraId="587A69C2" w14:textId="77777777" w:rsidR="006B0044" w:rsidRDefault="007133FF">
            <w:pPr>
              <w:spacing w:after="0"/>
            </w:pPr>
            <w:r>
              <w:rPr>
                <w:color w:val="111111"/>
                <w:sz w:val="15"/>
              </w:rPr>
              <w:t>Resolved critical issues</w:t>
            </w:r>
          </w:p>
        </w:tc>
      </w:tr>
      <w:tr w:rsidR="006B0044" w14:paraId="3AD88C15" w14:textId="77777777">
        <w:trPr>
          <w:jc w:val="center"/>
        </w:trPr>
        <w:tc>
          <w:tcPr>
            <w:tcW w:w="3213" w:type="dxa"/>
            <w:vAlign w:val="center"/>
          </w:tcPr>
          <w:p w14:paraId="6410BEA9" w14:textId="77777777" w:rsidR="006B0044" w:rsidRDefault="007133FF">
            <w:pPr>
              <w:spacing w:after="0"/>
            </w:pPr>
            <w:r>
              <w:rPr>
                <w:color w:val="111111"/>
                <w:sz w:val="15"/>
              </w:rPr>
              <w:t>Supervised operation</w:t>
            </w:r>
          </w:p>
        </w:tc>
        <w:tc>
          <w:tcPr>
            <w:tcW w:w="3213" w:type="dxa"/>
            <w:vAlign w:val="center"/>
          </w:tcPr>
          <w:p w14:paraId="716F4883" w14:textId="77777777" w:rsidR="006B0044" w:rsidRDefault="007133FF">
            <w:pPr>
              <w:spacing w:after="0"/>
            </w:pPr>
            <w:r>
              <w:rPr>
                <w:color w:val="111111"/>
                <w:sz w:val="15"/>
              </w:rPr>
              <w:t>Monitor real-world errors and overrides</w:t>
            </w:r>
          </w:p>
        </w:tc>
        <w:tc>
          <w:tcPr>
            <w:tcW w:w="3213" w:type="dxa"/>
            <w:vAlign w:val="center"/>
          </w:tcPr>
          <w:p w14:paraId="553DB1BD" w14:textId="77777777" w:rsidR="006B0044" w:rsidRDefault="007133FF">
            <w:pPr>
              <w:spacing w:after="0"/>
            </w:pPr>
            <w:r>
              <w:rPr>
                <w:color w:val="111111"/>
                <w:sz w:val="15"/>
              </w:rPr>
              <w:t xml:space="preserve">Stable </w:t>
            </w:r>
            <w:r>
              <w:rPr>
                <w:color w:val="111111"/>
                <w:sz w:val="15"/>
              </w:rPr>
              <w:t>performance within boundary</w:t>
            </w:r>
          </w:p>
        </w:tc>
      </w:tr>
      <w:tr w:rsidR="006B0044" w14:paraId="1FC2A3B6" w14:textId="77777777">
        <w:trPr>
          <w:jc w:val="center"/>
        </w:trPr>
        <w:tc>
          <w:tcPr>
            <w:tcW w:w="3213" w:type="dxa"/>
            <w:vAlign w:val="center"/>
          </w:tcPr>
          <w:p w14:paraId="2082D51A" w14:textId="77777777" w:rsidR="006B0044" w:rsidRDefault="007133FF">
            <w:pPr>
              <w:spacing w:after="0"/>
            </w:pPr>
            <w:r>
              <w:rPr>
                <w:color w:val="111111"/>
                <w:sz w:val="15"/>
              </w:rPr>
              <w:t>Scaled use</w:t>
            </w:r>
          </w:p>
        </w:tc>
        <w:tc>
          <w:tcPr>
            <w:tcW w:w="3213" w:type="dxa"/>
            <w:vAlign w:val="center"/>
          </w:tcPr>
          <w:p w14:paraId="56360742" w14:textId="77777777" w:rsidR="006B0044" w:rsidRDefault="007133FF">
            <w:pPr>
              <w:spacing w:after="0"/>
            </w:pPr>
            <w:r>
              <w:rPr>
                <w:color w:val="111111"/>
                <w:sz w:val="15"/>
              </w:rPr>
              <w:t>Expand only with maintenance capacity</w:t>
            </w:r>
          </w:p>
        </w:tc>
        <w:tc>
          <w:tcPr>
            <w:tcW w:w="3213" w:type="dxa"/>
            <w:vAlign w:val="center"/>
          </w:tcPr>
          <w:p w14:paraId="71C14D62" w14:textId="77777777" w:rsidR="006B0044" w:rsidRDefault="007133FF">
            <w:pPr>
              <w:spacing w:after="0"/>
            </w:pPr>
            <w:r>
              <w:rPr>
                <w:color w:val="111111"/>
                <w:sz w:val="15"/>
              </w:rPr>
              <w:t>Approved monitoring and incident plan</w:t>
            </w:r>
          </w:p>
        </w:tc>
      </w:tr>
    </w:tbl>
    <w:p w14:paraId="090F4161" w14:textId="77777777" w:rsidR="006B0044" w:rsidRDefault="007133FF">
      <w:pPr>
        <w:pStyle w:val="JASTEH1"/>
      </w:pPr>
      <w:r>
        <w:t>8. DISCUSSION</w:t>
      </w:r>
    </w:p>
    <w:p w14:paraId="294BEBEC" w14:textId="77777777" w:rsidR="006B0044" w:rsidRDefault="007133FF">
      <w:pPr>
        <w:spacing w:after="80"/>
        <w:jc w:val="both"/>
      </w:pPr>
      <w:r>
        <w:rPr>
          <w:color w:val="111111"/>
        </w:rPr>
        <w:t>The synthesis supports a systems-engineering view of digital-image forensics for messaging evidence. The contribution does no</w:t>
      </w:r>
      <w:r>
        <w:rPr>
          <w:color w:val="111111"/>
        </w:rPr>
        <w:t xml:space="preserve">t rest on one algorithm or device; it arises from linking evidence quality, processing, decision design, human interaction, and governance. This position avoids a common error in applied-technology studies: treating a successful technical demonstration as </w:t>
      </w:r>
      <w:r>
        <w:rPr>
          <w:color w:val="111111"/>
        </w:rPr>
        <w:t>proof of safe and useful operation.</w:t>
      </w:r>
    </w:p>
    <w:p w14:paraId="60A693B9" w14:textId="77777777" w:rsidR="006B0044" w:rsidRDefault="007133FF">
      <w:pPr>
        <w:spacing w:after="80"/>
        <w:jc w:val="both"/>
      </w:pPr>
      <w:r>
        <w:rPr>
          <w:color w:val="111111"/>
        </w:rPr>
        <w:t>Trade-offs are unavoidable. Increasing sensitivity can raise false alarms, stricter security can reduce accessibility, richer logging can increase privacy exposure, and additional explanations can increase cognitive load</w:t>
      </w:r>
      <w:r>
        <w:rPr>
          <w:color w:val="111111"/>
        </w:rPr>
        <w:t>. These trade-offs should be stated as design decisions with measurable consequences. The preferred configuration depends on the context and cannot be selected from a single universal accuracy target.</w:t>
      </w:r>
    </w:p>
    <w:p w14:paraId="717E1BFC" w14:textId="77777777" w:rsidR="006B0044" w:rsidRDefault="007133FF">
      <w:pPr>
        <w:pStyle w:val="JASTEH2"/>
      </w:pPr>
      <w:r>
        <w:t>8.1 Research Agenda</w:t>
      </w:r>
    </w:p>
    <w:p w14:paraId="0E049573" w14:textId="77777777" w:rsidR="006B0044" w:rsidRDefault="007133FF">
      <w:pPr>
        <w:spacing w:after="80"/>
        <w:jc w:val="both"/>
      </w:pPr>
      <w:r>
        <w:rPr>
          <w:color w:val="111111"/>
        </w:rPr>
        <w:t>Future studies should construct rep</w:t>
      </w:r>
      <w:r>
        <w:rPr>
          <w:color w:val="111111"/>
        </w:rPr>
        <w:t>resentative test sets, publish a preregistered evaluation protocol where feasible, compare meaningful baselines, and report negative as well as positive results. Multi-site or multi-device validation is particularly important when system performance depend</w:t>
      </w:r>
      <w:r>
        <w:rPr>
          <w:color w:val="111111"/>
        </w:rPr>
        <w:t>s on local language, infrastructure, workflow, or user characteristics.</w:t>
      </w:r>
    </w:p>
    <w:p w14:paraId="60E61CD7" w14:textId="77777777" w:rsidR="006B0044" w:rsidRDefault="007133FF">
      <w:pPr>
        <w:pStyle w:val="JASTEH1"/>
      </w:pPr>
      <w:r>
        <w:t>9. LIMITATIONS AND FUTURE WORK</w:t>
      </w:r>
    </w:p>
    <w:p w14:paraId="76ED498E" w14:textId="77777777" w:rsidR="006B0044" w:rsidRDefault="007133FF">
      <w:pPr>
        <w:spacing w:after="80"/>
        <w:jc w:val="both"/>
      </w:pPr>
      <w:r>
        <w:rPr>
          <w:color w:val="111111"/>
        </w:rPr>
        <w:t xml:space="preserve">This review is narrative and design-oriented, drawing on applied digital-photo-forgery detection work such as Riadi et al. (2019). It does not claim </w:t>
      </w:r>
      <w:r>
        <w:rPr>
          <w:color w:val="111111"/>
        </w:rPr>
        <w:t>exhaustive retrieval, formal meta-analysis, or a completed risk certification. The heterogeneity of technical tasks and evaluation settings limits direct comparison across sources. Some implementation requirements are therefore conservative design recommen</w:t>
      </w:r>
      <w:r>
        <w:rPr>
          <w:color w:val="111111"/>
        </w:rPr>
        <w:t>dations that must be tested empirically.</w:t>
      </w:r>
    </w:p>
    <w:p w14:paraId="082BCA8B" w14:textId="77777777" w:rsidR="006B0044" w:rsidRDefault="007133FF">
      <w:pPr>
        <w:spacing w:after="80"/>
        <w:jc w:val="both"/>
      </w:pPr>
      <w:r>
        <w:rPr>
          <w:color w:val="111111"/>
        </w:rPr>
        <w:t>The proposed architecture intentionally remains technology-neutral at interfaces where products and standards can change. This improves transferability but leaves choices such as device model, software stack, databa</w:t>
      </w:r>
      <w:r>
        <w:rPr>
          <w:color w:val="111111"/>
        </w:rPr>
        <w:t>se, algorithm family, and hosting arrangement to the implementation team. Those choices can materially affect cost, privacy, latency, maintainability, and performance.</w:t>
      </w:r>
    </w:p>
    <w:p w14:paraId="1305F703" w14:textId="77777777" w:rsidR="006B0044" w:rsidRDefault="007133FF">
      <w:pPr>
        <w:spacing w:after="80"/>
        <w:jc w:val="both"/>
      </w:pPr>
      <w:r>
        <w:rPr>
          <w:color w:val="111111"/>
        </w:rPr>
        <w:t>The most urgent next step is a transparent prototype of a layered and reproducible scree</w:t>
      </w:r>
      <w:r>
        <w:rPr>
          <w:color w:val="111111"/>
        </w:rPr>
        <w:t>nshot-authentication workflow followed by controlled testing and a supervised field pilot. Evaluation must include the failure modes described in the risk register, not only routine successful cases. Independent replication and external review would streng</w:t>
      </w:r>
      <w:r>
        <w:rPr>
          <w:color w:val="111111"/>
        </w:rPr>
        <w:t>then confidence before broader deployment.</w:t>
      </w:r>
    </w:p>
    <w:p w14:paraId="66E1F0A0" w14:textId="77777777" w:rsidR="006B0044" w:rsidRDefault="007133FF">
      <w:pPr>
        <w:spacing w:after="80"/>
        <w:jc w:val="both"/>
      </w:pPr>
      <w:r>
        <w:rPr>
          <w:color w:val="111111"/>
        </w:rPr>
        <w:t>Further work should also examine economic feasibility, organisational readiness, training burden, and long-term maintenance. A technically valid prototype may still fail when support resources, governance authorit</w:t>
      </w:r>
      <w:r>
        <w:rPr>
          <w:color w:val="111111"/>
        </w:rPr>
        <w:t>y, or integration with existing workflows are inadequate. Implementation research should therefore accompany technical evaluation.</w:t>
      </w:r>
    </w:p>
    <w:p w14:paraId="04D90F5B" w14:textId="77777777" w:rsidR="006B0044" w:rsidRDefault="007133FF">
      <w:pPr>
        <w:spacing w:before="100" w:after="60"/>
        <w:jc w:val="center"/>
      </w:pPr>
      <w:r>
        <w:rPr>
          <w:b/>
          <w:color w:val="111111"/>
          <w:sz w:val="18"/>
        </w:rPr>
        <w:t>Table 7. Priority Research Agenda</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6B0044" w14:paraId="77F8CC6F" w14:textId="77777777">
        <w:trPr>
          <w:jc w:val="center"/>
        </w:trPr>
        <w:tc>
          <w:tcPr>
            <w:tcW w:w="3213" w:type="dxa"/>
            <w:shd w:val="clear" w:color="auto" w:fill="2F66B3"/>
          </w:tcPr>
          <w:p w14:paraId="162ED8BF" w14:textId="77777777" w:rsidR="006B0044" w:rsidRDefault="007133FF">
            <w:pPr>
              <w:jc w:val="center"/>
            </w:pPr>
            <w:r>
              <w:rPr>
                <w:b/>
                <w:color w:val="FFFFFF"/>
                <w:sz w:val="15"/>
              </w:rPr>
              <w:t>Priority</w:t>
            </w:r>
          </w:p>
        </w:tc>
        <w:tc>
          <w:tcPr>
            <w:tcW w:w="3213" w:type="dxa"/>
            <w:shd w:val="clear" w:color="auto" w:fill="2F66B3"/>
          </w:tcPr>
          <w:p w14:paraId="1E3DE431" w14:textId="77777777" w:rsidR="006B0044" w:rsidRDefault="007133FF">
            <w:pPr>
              <w:jc w:val="center"/>
            </w:pPr>
            <w:r>
              <w:rPr>
                <w:b/>
                <w:color w:val="FFFFFF"/>
                <w:sz w:val="15"/>
              </w:rPr>
              <w:t>Study design</w:t>
            </w:r>
          </w:p>
        </w:tc>
        <w:tc>
          <w:tcPr>
            <w:tcW w:w="3213" w:type="dxa"/>
            <w:shd w:val="clear" w:color="auto" w:fill="2F66B3"/>
          </w:tcPr>
          <w:p w14:paraId="4767E63F" w14:textId="77777777" w:rsidR="006B0044" w:rsidRDefault="007133FF">
            <w:pPr>
              <w:jc w:val="center"/>
            </w:pPr>
            <w:r>
              <w:rPr>
                <w:b/>
                <w:color w:val="FFFFFF"/>
                <w:sz w:val="15"/>
              </w:rPr>
              <w:t>Expected evidence</w:t>
            </w:r>
          </w:p>
        </w:tc>
      </w:tr>
      <w:tr w:rsidR="006B0044" w14:paraId="3372EFF7" w14:textId="77777777">
        <w:trPr>
          <w:jc w:val="center"/>
        </w:trPr>
        <w:tc>
          <w:tcPr>
            <w:tcW w:w="3213" w:type="dxa"/>
            <w:vAlign w:val="center"/>
          </w:tcPr>
          <w:p w14:paraId="1EC7BE74" w14:textId="77777777" w:rsidR="006B0044" w:rsidRDefault="007133FF">
            <w:pPr>
              <w:spacing w:after="0"/>
            </w:pPr>
            <w:r>
              <w:rPr>
                <w:color w:val="111111"/>
                <w:sz w:val="15"/>
              </w:rPr>
              <w:t>Component validity</w:t>
            </w:r>
          </w:p>
        </w:tc>
        <w:tc>
          <w:tcPr>
            <w:tcW w:w="3213" w:type="dxa"/>
            <w:vAlign w:val="center"/>
          </w:tcPr>
          <w:p w14:paraId="6FE232FE" w14:textId="77777777" w:rsidR="006B0044" w:rsidRDefault="007133FF">
            <w:pPr>
              <w:spacing w:after="0"/>
            </w:pPr>
            <w:r>
              <w:rPr>
                <w:color w:val="111111"/>
                <w:sz w:val="15"/>
              </w:rPr>
              <w:t>Controlled benchmark study</w:t>
            </w:r>
          </w:p>
        </w:tc>
        <w:tc>
          <w:tcPr>
            <w:tcW w:w="3213" w:type="dxa"/>
            <w:vAlign w:val="center"/>
          </w:tcPr>
          <w:p w14:paraId="53CB25B8" w14:textId="77777777" w:rsidR="006B0044" w:rsidRDefault="007133FF">
            <w:pPr>
              <w:spacing w:after="0"/>
            </w:pPr>
            <w:r>
              <w:rPr>
                <w:color w:val="111111"/>
                <w:sz w:val="15"/>
              </w:rPr>
              <w:t>Accu</w:t>
            </w:r>
            <w:r>
              <w:rPr>
                <w:color w:val="111111"/>
                <w:sz w:val="15"/>
              </w:rPr>
              <w:t>racy, calibration, failure modes</w:t>
            </w:r>
          </w:p>
        </w:tc>
      </w:tr>
      <w:tr w:rsidR="006B0044" w14:paraId="1EF9F99B" w14:textId="77777777">
        <w:trPr>
          <w:jc w:val="center"/>
        </w:trPr>
        <w:tc>
          <w:tcPr>
            <w:tcW w:w="3213" w:type="dxa"/>
            <w:vAlign w:val="center"/>
          </w:tcPr>
          <w:p w14:paraId="5B6CB4B0" w14:textId="77777777" w:rsidR="006B0044" w:rsidRDefault="007133FF">
            <w:pPr>
              <w:spacing w:after="0"/>
            </w:pPr>
            <w:r>
              <w:rPr>
                <w:color w:val="111111"/>
                <w:sz w:val="15"/>
              </w:rPr>
              <w:t>Integrated usability</w:t>
            </w:r>
          </w:p>
        </w:tc>
        <w:tc>
          <w:tcPr>
            <w:tcW w:w="3213" w:type="dxa"/>
            <w:vAlign w:val="center"/>
          </w:tcPr>
          <w:p w14:paraId="745CBB98" w14:textId="77777777" w:rsidR="006B0044" w:rsidRDefault="007133FF">
            <w:pPr>
              <w:spacing w:after="0"/>
            </w:pPr>
            <w:r>
              <w:rPr>
                <w:color w:val="111111"/>
                <w:sz w:val="15"/>
              </w:rPr>
              <w:t>Scenario-based user study</w:t>
            </w:r>
          </w:p>
        </w:tc>
        <w:tc>
          <w:tcPr>
            <w:tcW w:w="3213" w:type="dxa"/>
            <w:vAlign w:val="center"/>
          </w:tcPr>
          <w:p w14:paraId="2495B97F" w14:textId="77777777" w:rsidR="006B0044" w:rsidRDefault="007133FF">
            <w:pPr>
              <w:spacing w:after="0"/>
            </w:pPr>
            <w:r>
              <w:rPr>
                <w:color w:val="111111"/>
                <w:sz w:val="15"/>
              </w:rPr>
              <w:t>Task outcomes and interpretation</w:t>
            </w:r>
          </w:p>
        </w:tc>
      </w:tr>
      <w:tr w:rsidR="006B0044" w14:paraId="2FB8BE1A" w14:textId="77777777">
        <w:trPr>
          <w:jc w:val="center"/>
        </w:trPr>
        <w:tc>
          <w:tcPr>
            <w:tcW w:w="3213" w:type="dxa"/>
            <w:vAlign w:val="center"/>
          </w:tcPr>
          <w:p w14:paraId="76E9792F" w14:textId="77777777" w:rsidR="006B0044" w:rsidRDefault="007133FF">
            <w:pPr>
              <w:spacing w:after="0"/>
            </w:pPr>
            <w:r>
              <w:rPr>
                <w:color w:val="111111"/>
                <w:sz w:val="15"/>
              </w:rPr>
              <w:t>Field feasibility</w:t>
            </w:r>
          </w:p>
        </w:tc>
        <w:tc>
          <w:tcPr>
            <w:tcW w:w="3213" w:type="dxa"/>
            <w:vAlign w:val="center"/>
          </w:tcPr>
          <w:p w14:paraId="75DB0405" w14:textId="77777777" w:rsidR="006B0044" w:rsidRDefault="007133FF">
            <w:pPr>
              <w:spacing w:after="0"/>
            </w:pPr>
            <w:r>
              <w:rPr>
                <w:color w:val="111111"/>
                <w:sz w:val="15"/>
              </w:rPr>
              <w:t>Supervised prospective pilot</w:t>
            </w:r>
          </w:p>
        </w:tc>
        <w:tc>
          <w:tcPr>
            <w:tcW w:w="3213" w:type="dxa"/>
            <w:vAlign w:val="center"/>
          </w:tcPr>
          <w:p w14:paraId="6E362F12" w14:textId="77777777" w:rsidR="006B0044" w:rsidRDefault="007133FF">
            <w:pPr>
              <w:spacing w:after="0"/>
            </w:pPr>
            <w:r>
              <w:rPr>
                <w:color w:val="111111"/>
                <w:sz w:val="15"/>
              </w:rPr>
              <w:t>Workflow, safety, maintenance</w:t>
            </w:r>
          </w:p>
        </w:tc>
      </w:tr>
      <w:tr w:rsidR="006B0044" w14:paraId="33B3B162" w14:textId="77777777">
        <w:trPr>
          <w:jc w:val="center"/>
        </w:trPr>
        <w:tc>
          <w:tcPr>
            <w:tcW w:w="3213" w:type="dxa"/>
            <w:vAlign w:val="center"/>
          </w:tcPr>
          <w:p w14:paraId="5D61A8F6" w14:textId="77777777" w:rsidR="006B0044" w:rsidRDefault="007133FF">
            <w:pPr>
              <w:spacing w:after="0"/>
            </w:pPr>
            <w:r>
              <w:rPr>
                <w:color w:val="111111"/>
                <w:sz w:val="15"/>
              </w:rPr>
              <w:t>Transferability</w:t>
            </w:r>
          </w:p>
        </w:tc>
        <w:tc>
          <w:tcPr>
            <w:tcW w:w="3213" w:type="dxa"/>
            <w:vAlign w:val="center"/>
          </w:tcPr>
          <w:p w14:paraId="069BC415" w14:textId="77777777" w:rsidR="006B0044" w:rsidRDefault="007133FF">
            <w:pPr>
              <w:spacing w:after="0"/>
            </w:pPr>
            <w:r>
              <w:rPr>
                <w:color w:val="111111"/>
                <w:sz w:val="15"/>
              </w:rPr>
              <w:t xml:space="preserve">Multi-site or multi-device </w:t>
            </w:r>
            <w:r>
              <w:rPr>
                <w:color w:val="111111"/>
                <w:sz w:val="15"/>
              </w:rPr>
              <w:t>replication</w:t>
            </w:r>
          </w:p>
        </w:tc>
        <w:tc>
          <w:tcPr>
            <w:tcW w:w="3213" w:type="dxa"/>
            <w:vAlign w:val="center"/>
          </w:tcPr>
          <w:p w14:paraId="20BDFD86" w14:textId="77777777" w:rsidR="006B0044" w:rsidRDefault="007133FF">
            <w:pPr>
              <w:spacing w:after="0"/>
            </w:pPr>
            <w:r>
              <w:rPr>
                <w:color w:val="111111"/>
                <w:sz w:val="15"/>
              </w:rPr>
              <w:t>Boundary conditions and generalisability</w:t>
            </w:r>
          </w:p>
        </w:tc>
      </w:tr>
    </w:tbl>
    <w:p w14:paraId="0FA8BCD2" w14:textId="77777777" w:rsidR="006B0044" w:rsidRDefault="007133FF">
      <w:pPr>
        <w:pStyle w:val="JASTEH1"/>
      </w:pPr>
      <w:r>
        <w:lastRenderedPageBreak/>
        <w:t>10. CONCLUSION</w:t>
      </w:r>
    </w:p>
    <w:p w14:paraId="57606AF3" w14:textId="77777777" w:rsidR="006B0044" w:rsidRDefault="007133FF">
      <w:pPr>
        <w:spacing w:after="80"/>
        <w:jc w:val="both"/>
      </w:pPr>
      <w:r>
        <w:rPr>
          <w:color w:val="111111"/>
        </w:rPr>
        <w:t>WhatsApp screenshot authentication requires preservation, reproducible file and pixel analysis, semantic interface checks, and corroboration with native artifacts. Metadata and error-leve</w:t>
      </w:r>
      <w:r>
        <w:rPr>
          <w:color w:val="111111"/>
        </w:rPr>
        <w:t>l analysis are useful but limited indicators. A confidence-based report that separates observation from inference provides a more defensible engineering contribution than a single-tool authenticity claim.</w:t>
      </w:r>
    </w:p>
    <w:p w14:paraId="28F3E1FE" w14:textId="77777777" w:rsidR="006B0044" w:rsidRDefault="007133FF">
      <w:pPr>
        <w:spacing w:after="80"/>
        <w:jc w:val="both"/>
      </w:pPr>
      <w:r>
        <w:rPr>
          <w:color w:val="111111"/>
        </w:rPr>
        <w:t>In summary, responsible progress in digital-image f</w:t>
      </w:r>
      <w:r>
        <w:rPr>
          <w:color w:val="111111"/>
        </w:rPr>
        <w:t>orensics for messaging evidence requires a traceable relationship between evidence, processing, decisions, users, and governance. The proposed framework supplies that relationship and defines a practical agenda for prototype validation without presenting u</w:t>
      </w:r>
      <w:r>
        <w:rPr>
          <w:color w:val="111111"/>
        </w:rPr>
        <w:t>ntested performance as an established result.</w:t>
      </w:r>
    </w:p>
    <w:p w14:paraId="2F318E76" w14:textId="77777777" w:rsidR="006B0044" w:rsidRDefault="007133FF">
      <w:pPr>
        <w:spacing w:after="80"/>
        <w:jc w:val="both"/>
      </w:pPr>
      <w:r>
        <w:rPr>
          <w:color w:val="111111"/>
        </w:rPr>
        <w:t>The practical contribution of this framework is a common language for researchers, developers, and decision makers working on digital-image forensics for messaging evidence. It connects a technical feature to i</w:t>
      </w:r>
      <w:r>
        <w:rPr>
          <w:color w:val="111111"/>
        </w:rPr>
        <w:t>ts evidentiary purpose, validation requirement, risk, and accountable user. This connection helps prevent isolated optimisation, in which one metric improves while the surrounding workflow becomes harder to interpret, maintain, or govern.</w:t>
      </w:r>
    </w:p>
    <w:p w14:paraId="1B331FC2" w14:textId="77777777" w:rsidR="006B0044" w:rsidRDefault="007133FF">
      <w:pPr>
        <w:spacing w:after="80"/>
        <w:jc w:val="both"/>
      </w:pPr>
      <w:r>
        <w:rPr>
          <w:color w:val="111111"/>
        </w:rPr>
        <w:t xml:space="preserve">For publication, </w:t>
      </w:r>
      <w:r>
        <w:rPr>
          <w:color w:val="111111"/>
        </w:rPr>
        <w:t xml:space="preserve">future empirical versions should replace proposed procedures with exact observed methods and results. Dataset characteristics, inclusion decisions, preprocessing, software versions, statistical analysis, and deviations from the protocol should be reported </w:t>
      </w:r>
      <w:r>
        <w:rPr>
          <w:color w:val="111111"/>
        </w:rPr>
        <w:t>transparently. Tables and figures should present reproducible evidence rather than illustrative numbers. This distinction is essential because a conceptual engineering article can guide design, but only empirical evaluation can support claims about measure</w:t>
      </w:r>
      <w:r>
        <w:rPr>
          <w:color w:val="111111"/>
        </w:rPr>
        <w:t>d effectiveness.</w:t>
      </w:r>
    </w:p>
    <w:p w14:paraId="1356159E" w14:textId="77777777" w:rsidR="006B0044" w:rsidRDefault="007133FF">
      <w:pPr>
        <w:spacing w:after="80"/>
        <w:jc w:val="both"/>
      </w:pPr>
      <w:r>
        <w:rPr>
          <w:color w:val="111111"/>
        </w:rPr>
        <w:t>For implementation, the recommended priority is not immediate automation but reliable assistance. The system should make evidence easier to organise, inspect, and communicate while preserving human authority for consequential interpretatio</w:t>
      </w:r>
      <w:r>
        <w:rPr>
          <w:color w:val="111111"/>
        </w:rPr>
        <w:t>n. Automation can be expanded only after monitoring demonstrates stable behaviour, reviewers understand limitations, and governance mechanisms respond effectively to errors and complaints.</w:t>
      </w:r>
    </w:p>
    <w:p w14:paraId="68881474" w14:textId="77777777" w:rsidR="006B0044" w:rsidRDefault="007133FF">
      <w:pPr>
        <w:spacing w:after="80"/>
        <w:jc w:val="both"/>
      </w:pPr>
      <w:r>
        <w:rPr>
          <w:color w:val="111111"/>
        </w:rPr>
        <w:t>The framework also supports cumulative research. Because inputs, co</w:t>
      </w:r>
      <w:r>
        <w:rPr>
          <w:color w:val="111111"/>
        </w:rPr>
        <w:t>mponents, interfaces, metrics, and operating boundaries are specified separately, later studies can test individual assumptions and compare alternatives without rebuilding the entire conceptual model. Replication can then identify which findings are stable</w:t>
      </w:r>
      <w:r>
        <w:rPr>
          <w:color w:val="111111"/>
        </w:rPr>
        <w:t>, which depend on context, and which controls are necessary for transfer to a new population or institution.</w:t>
      </w:r>
    </w:p>
    <w:p w14:paraId="47859FF9" w14:textId="77777777" w:rsidR="006B0044" w:rsidRDefault="007133FF">
      <w:pPr>
        <w:spacing w:after="80"/>
        <w:jc w:val="both"/>
      </w:pPr>
      <w:r>
        <w:rPr>
          <w:color w:val="111111"/>
        </w:rPr>
        <w:t xml:space="preserve">Accordingly, readiness should be treated as an evidence threshold rather than as a project deadline. A system is ready only when the </w:t>
      </w:r>
      <w:r>
        <w:rPr>
          <w:color w:val="111111"/>
        </w:rPr>
        <w:t>required technical tests, human-centred evaluation, risk controls, documentation, training, and maintenance ownership have been demonstrated together. Where evidence remains incomplete, the appropriate conclusion is a narrower operating boundary or further</w:t>
      </w:r>
      <w:r>
        <w:rPr>
          <w:color w:val="111111"/>
        </w:rPr>
        <w:t xml:space="preserve"> study—not an unsupported claim of general applicability.</w:t>
      </w:r>
    </w:p>
    <w:p w14:paraId="6C56FAA2" w14:textId="77777777" w:rsidR="006B0044" w:rsidRDefault="007133FF">
      <w:pPr>
        <w:pStyle w:val="JASTEH1"/>
      </w:pPr>
      <w:r>
        <w:t>AUTHOR CONTRIBUTIONS</w:t>
      </w:r>
    </w:p>
    <w:p w14:paraId="5FD9F742" w14:textId="77777777" w:rsidR="006B0044" w:rsidRDefault="007133FF">
      <w:pPr>
        <w:spacing w:after="40"/>
        <w:jc w:val="both"/>
      </w:pPr>
      <w:r>
        <w:rPr>
          <w:color w:val="111111"/>
        </w:rPr>
        <w:t>The listed author(s) contributed to conceptualisation, literature synthesis, framework development, writing, review, and approval of the manuscript. Every author must verify thi</w:t>
      </w:r>
      <w:r>
        <w:rPr>
          <w:color w:val="111111"/>
        </w:rPr>
        <w:t>s statement before publication.</w:t>
      </w:r>
    </w:p>
    <w:p w14:paraId="47EF9A15" w14:textId="77777777" w:rsidR="006B0044" w:rsidRDefault="007133FF">
      <w:pPr>
        <w:pStyle w:val="JASTEH1"/>
      </w:pPr>
      <w:r>
        <w:t>FUNDING</w:t>
      </w:r>
    </w:p>
    <w:p w14:paraId="4DF7022D" w14:textId="77777777" w:rsidR="006B0044" w:rsidRDefault="007133FF">
      <w:pPr>
        <w:spacing w:after="40"/>
        <w:jc w:val="both"/>
      </w:pPr>
      <w:r>
        <w:rPr>
          <w:color w:val="111111"/>
        </w:rPr>
        <w:t>This article received no external funding. The authors must replace this statement if funding applies.</w:t>
      </w:r>
    </w:p>
    <w:p w14:paraId="181B5D6E" w14:textId="77777777" w:rsidR="006B0044" w:rsidRDefault="007133FF">
      <w:pPr>
        <w:pStyle w:val="JASTEH1"/>
      </w:pPr>
      <w:r>
        <w:t>CONFLICTS OF INTEREST</w:t>
      </w:r>
    </w:p>
    <w:p w14:paraId="6CDBF9B5" w14:textId="77777777" w:rsidR="006B0044" w:rsidRDefault="007133FF">
      <w:pPr>
        <w:spacing w:after="40"/>
        <w:jc w:val="both"/>
      </w:pPr>
      <w:r>
        <w:rPr>
          <w:color w:val="111111"/>
        </w:rPr>
        <w:t>The author(s) declare no conflict of interest. Every author must verify this statement befo</w:t>
      </w:r>
      <w:r>
        <w:rPr>
          <w:color w:val="111111"/>
        </w:rPr>
        <w:t>re publication.</w:t>
      </w:r>
    </w:p>
    <w:p w14:paraId="4E079029" w14:textId="77777777" w:rsidR="006B0044" w:rsidRDefault="007133FF">
      <w:pPr>
        <w:pStyle w:val="JASTEH1"/>
      </w:pPr>
      <w:r>
        <w:t>DATA AVAILABILITY STATEMENT</w:t>
      </w:r>
    </w:p>
    <w:p w14:paraId="13325508" w14:textId="77777777" w:rsidR="006B0044" w:rsidRDefault="007133FF">
      <w:pPr>
        <w:spacing w:after="40"/>
        <w:jc w:val="both"/>
      </w:pPr>
      <w:r>
        <w:rPr>
          <w:color w:val="111111"/>
        </w:rPr>
        <w:t>No original dataset was generated because this article presents a conceptual technical review and design framework.</w:t>
      </w:r>
    </w:p>
    <w:p w14:paraId="0CF4C91C" w14:textId="77777777" w:rsidR="006B0044" w:rsidRDefault="007133FF">
      <w:pPr>
        <w:pStyle w:val="JASTEH1"/>
      </w:pPr>
      <w:r>
        <w:t>REFERENCES</w:t>
      </w:r>
    </w:p>
    <w:p w14:paraId="25D3E94D" w14:textId="77777777" w:rsidR="006B0044" w:rsidRDefault="007133FF">
      <w:pPr>
        <w:spacing w:after="40" w:line="240" w:lineRule="auto"/>
        <w:ind w:left="340" w:hanging="340"/>
      </w:pPr>
      <w:r>
        <w:rPr>
          <w:color w:val="111111"/>
          <w:sz w:val="16"/>
        </w:rPr>
        <w:t>AbdWarif, N. B., Wahab, A. W. A., Idris, M. Y. I., Ramli, R., Salleh, R., Shamshirban</w:t>
      </w:r>
      <w:r>
        <w:rPr>
          <w:color w:val="111111"/>
          <w:sz w:val="16"/>
        </w:rPr>
        <w:t>d, S., &amp; Choo, K.-K. R. (2016). Copy-move forgery detection: Survey, challenges and future directions. Journal of Network and Computer Applications, 75, 259-278.</w:t>
      </w:r>
    </w:p>
    <w:p w14:paraId="4DA9F64E" w14:textId="77777777" w:rsidR="006B0044" w:rsidRDefault="007133FF">
      <w:pPr>
        <w:spacing w:after="40" w:line="240" w:lineRule="auto"/>
        <w:ind w:left="340" w:hanging="340"/>
      </w:pPr>
      <w:r>
        <w:rPr>
          <w:color w:val="111111"/>
          <w:sz w:val="16"/>
        </w:rPr>
        <w:t>Al-Qershi, O. M., &amp; Khoo, B. E. (2013). Passive detection of copy-move forgery in digital imag</w:t>
      </w:r>
      <w:r>
        <w:rPr>
          <w:color w:val="111111"/>
          <w:sz w:val="16"/>
        </w:rPr>
        <w:t>es: State-of-the-art. Forensic Science International, 231(1-3), 284-295.</w:t>
      </w:r>
    </w:p>
    <w:p w14:paraId="0C5AE52E" w14:textId="77777777" w:rsidR="006B0044" w:rsidRDefault="007133FF">
      <w:pPr>
        <w:spacing w:after="40" w:line="240" w:lineRule="auto"/>
        <w:ind w:left="340" w:hanging="340"/>
      </w:pPr>
      <w:r>
        <w:rPr>
          <w:color w:val="111111"/>
          <w:sz w:val="16"/>
        </w:rPr>
        <w:t>Anglano, C. (2014). Forensic analysis of WhatsApp Messenger on Android smartphones. Digital Investigation, 11(3), 201-213. https://doi.org/10.1016/j.diin.2014.04.003</w:t>
      </w:r>
    </w:p>
    <w:p w14:paraId="1616DD32" w14:textId="77777777" w:rsidR="006B0044" w:rsidRDefault="007133FF">
      <w:pPr>
        <w:spacing w:after="40" w:line="240" w:lineRule="auto"/>
        <w:ind w:left="340" w:hanging="340"/>
      </w:pPr>
      <w:r>
        <w:rPr>
          <w:color w:val="111111"/>
          <w:sz w:val="16"/>
        </w:rPr>
        <w:t>Bisri, H., &amp; Marz</w:t>
      </w:r>
      <w:r>
        <w:rPr>
          <w:color w:val="111111"/>
          <w:sz w:val="16"/>
        </w:rPr>
        <w:t>uki, M. I. (2023). Forensik citra digital menggunakan metode error level analysis, clone detection dan EXIF. G-Tech, 7(2). https://doi.org/10.33379/gtech.v7i2.2363</w:t>
      </w:r>
    </w:p>
    <w:p w14:paraId="06308595" w14:textId="77777777" w:rsidR="006B0044" w:rsidRDefault="007133FF">
      <w:pPr>
        <w:spacing w:after="40" w:line="240" w:lineRule="auto"/>
        <w:ind w:left="340" w:hanging="340"/>
      </w:pPr>
      <w:r>
        <w:rPr>
          <w:color w:val="111111"/>
          <w:sz w:val="16"/>
        </w:rPr>
        <w:t>Christlein, V., Riess, C., Jordan, J., Riess, C., &amp; Angelopoulou, E. (2012). An evaluation o</w:t>
      </w:r>
      <w:r>
        <w:rPr>
          <w:color w:val="111111"/>
          <w:sz w:val="16"/>
        </w:rPr>
        <w:t>f popular copy-move forgery detection approaches. IEEE Transactions on Information Forensics and Security, 7(6), 1841-1854.</w:t>
      </w:r>
    </w:p>
    <w:p w14:paraId="0E81645F" w14:textId="77777777" w:rsidR="006B0044" w:rsidRDefault="007133FF">
      <w:pPr>
        <w:spacing w:after="40" w:line="240" w:lineRule="auto"/>
        <w:ind w:left="340" w:hanging="340"/>
      </w:pPr>
      <w:r>
        <w:rPr>
          <w:color w:val="111111"/>
          <w:sz w:val="16"/>
        </w:rPr>
        <w:t>Dror, I. E. (2020). Cognitive and human factors in expert decision making: Six fallacies and the eight sources of bias. Analytical C</w:t>
      </w:r>
      <w:r>
        <w:rPr>
          <w:color w:val="111111"/>
          <w:sz w:val="16"/>
        </w:rPr>
        <w:t>hemistry, 92(12), 7998-8004.</w:t>
      </w:r>
    </w:p>
    <w:p w14:paraId="14F44FAE" w14:textId="77777777" w:rsidR="006B0044" w:rsidRDefault="007133FF">
      <w:pPr>
        <w:spacing w:after="40" w:line="240" w:lineRule="auto"/>
        <w:ind w:left="340" w:hanging="340"/>
      </w:pPr>
      <w:r>
        <w:rPr>
          <w:color w:val="111111"/>
          <w:sz w:val="16"/>
        </w:rPr>
        <w:t>Farid, H. (2009). Image forgery detection. IEEE Signal Processing Magazine, 26(2), 16-25.</w:t>
      </w:r>
    </w:p>
    <w:p w14:paraId="7BA17E67" w14:textId="77777777" w:rsidR="006B0044" w:rsidRDefault="007133FF">
      <w:pPr>
        <w:spacing w:after="40" w:line="240" w:lineRule="auto"/>
        <w:ind w:left="340" w:hanging="340"/>
      </w:pPr>
      <w:r>
        <w:rPr>
          <w:color w:val="111111"/>
          <w:sz w:val="16"/>
        </w:rPr>
        <w:t>Ferdiansyah, F., Deazwara, M. R. A., Billanivo, R. R., Ardiansyah, M., &amp; Ilham, I. (2025). Forensic analysis of AI-generated image altera</w:t>
      </w:r>
      <w:r>
        <w:rPr>
          <w:color w:val="111111"/>
          <w:sz w:val="16"/>
        </w:rPr>
        <w:t>tions using metadata evaluation, ELA, and noise pattern analysis. Journal of Information Systems and Informatics, 7(4). https://doi.org/10.63158/journalisi.v7i4.1362</w:t>
      </w:r>
    </w:p>
    <w:p w14:paraId="7D7B3E75" w14:textId="77777777" w:rsidR="006B0044" w:rsidRDefault="007133FF">
      <w:pPr>
        <w:spacing w:after="40" w:line="240" w:lineRule="auto"/>
        <w:ind w:left="340" w:hanging="340"/>
      </w:pPr>
      <w:r>
        <w:rPr>
          <w:color w:val="111111"/>
          <w:sz w:val="16"/>
        </w:rPr>
        <w:t>Gangwar, D. P., &amp; Pathania, A. (2018). Authentication of digital image using EXIF metadata</w:t>
      </w:r>
      <w:r>
        <w:rPr>
          <w:color w:val="111111"/>
          <w:sz w:val="16"/>
        </w:rPr>
        <w:t xml:space="preserve"> and decoding properties. International Journal of Scientific Research in Computer Science, Engineering and Information Technology, 3(8), 335-341.</w:t>
      </w:r>
    </w:p>
    <w:p w14:paraId="7C18173F" w14:textId="77777777" w:rsidR="006B0044" w:rsidRDefault="007133FF">
      <w:pPr>
        <w:spacing w:after="40" w:line="240" w:lineRule="auto"/>
        <w:ind w:left="340" w:hanging="340"/>
      </w:pPr>
      <w:r>
        <w:rPr>
          <w:color w:val="111111"/>
          <w:sz w:val="16"/>
        </w:rPr>
        <w:lastRenderedPageBreak/>
        <w:t>Guttman, B., White, D. R., Williams, S., &amp; Walraven, T. (2022). Digital evidence preservation: Considerations</w:t>
      </w:r>
      <w:r>
        <w:rPr>
          <w:color w:val="111111"/>
          <w:sz w:val="16"/>
        </w:rPr>
        <w:t xml:space="preserve"> for evidence handlers (NIST IR 8387). National Institute of Standards and Technology. https://doi.org/10.6028/NIST.IR.8387</w:t>
      </w:r>
    </w:p>
    <w:p w14:paraId="4340B8C2" w14:textId="77777777" w:rsidR="006B0044" w:rsidRDefault="007133FF">
      <w:pPr>
        <w:spacing w:after="40" w:line="240" w:lineRule="auto"/>
        <w:ind w:left="340" w:hanging="340"/>
      </w:pPr>
      <w:r>
        <w:rPr>
          <w:color w:val="111111"/>
          <w:sz w:val="16"/>
        </w:rPr>
        <w:t xml:space="preserve">Hamza, A., Bagiwa, M. A., &amp; Aliyu, S. (2025). An adaptive compression factor error level analysis for image forgery classification. </w:t>
      </w:r>
      <w:r>
        <w:rPr>
          <w:color w:val="111111"/>
          <w:sz w:val="16"/>
        </w:rPr>
        <w:t>Science World Journal, 20(3), 1248-1252. https://doi.org/10.4314/swj.v20i3.47</w:t>
      </w:r>
    </w:p>
    <w:p w14:paraId="24FCC178" w14:textId="77777777" w:rsidR="006B0044" w:rsidRDefault="007133FF">
      <w:pPr>
        <w:spacing w:after="40" w:line="240" w:lineRule="auto"/>
        <w:ind w:left="340" w:hanging="340"/>
      </w:pPr>
      <w:r>
        <w:rPr>
          <w:color w:val="111111"/>
          <w:sz w:val="16"/>
        </w:rPr>
        <w:t xml:space="preserve">Kunkler, K. S., &amp; Roy, T. (2023). Reducing the impact of cognitive bias in decision making: Practical actions for forensic science practitioners. Forensic Science International: </w:t>
      </w:r>
      <w:r>
        <w:rPr>
          <w:color w:val="111111"/>
          <w:sz w:val="16"/>
        </w:rPr>
        <w:t>Synergy, 7, 100341.</w:t>
      </w:r>
    </w:p>
    <w:p w14:paraId="0F96EE04" w14:textId="77777777" w:rsidR="006B0044" w:rsidRDefault="007133FF">
      <w:pPr>
        <w:spacing w:after="40" w:line="240" w:lineRule="auto"/>
        <w:ind w:left="340" w:hanging="340"/>
      </w:pPr>
      <w:r>
        <w:rPr>
          <w:color w:val="111111"/>
          <w:sz w:val="16"/>
        </w:rPr>
        <w:t>Meena, K. B., &amp; Tyagi, V. (2019). Image forgery detection: Survey and future directions. In Data Engineering and Applications (Vol. 2, pp. 163-194). Springer.</w:t>
      </w:r>
    </w:p>
    <w:p w14:paraId="2C35C5A1" w14:textId="77777777" w:rsidR="006B0044" w:rsidRDefault="007133FF">
      <w:pPr>
        <w:spacing w:after="40" w:line="240" w:lineRule="auto"/>
        <w:ind w:left="340" w:hanging="340"/>
      </w:pPr>
      <w:r>
        <w:rPr>
          <w:color w:val="111111"/>
          <w:sz w:val="16"/>
        </w:rPr>
        <w:t xml:space="preserve">National Institute of Standards and Technology. (2006). Guide to integrating </w:t>
      </w:r>
      <w:r>
        <w:rPr>
          <w:color w:val="111111"/>
          <w:sz w:val="16"/>
        </w:rPr>
        <w:t>forensic techniques into incident response (SP 800-86). https://doi.org/10.6028/NIST.SP.800-86</w:t>
      </w:r>
    </w:p>
    <w:p w14:paraId="25EB717B" w14:textId="77777777" w:rsidR="006B0044" w:rsidRDefault="007133FF">
      <w:pPr>
        <w:spacing w:after="40" w:line="240" w:lineRule="auto"/>
        <w:ind w:left="340" w:hanging="340"/>
      </w:pPr>
      <w:r>
        <w:rPr>
          <w:color w:val="111111"/>
          <w:sz w:val="16"/>
        </w:rPr>
        <w:t>Pathania, A., Gangwar, D. P., &amp; Kumar, A. (2018). Study of metadata properties of image and video files of Android based smart phones. International Journal of C</w:t>
      </w:r>
      <w:r>
        <w:rPr>
          <w:color w:val="111111"/>
          <w:sz w:val="16"/>
        </w:rPr>
        <w:t>omputer Sciences and Engineering, 6(7), 266-270. https://doi.org/10.26438/ijcse/v6i7.266270</w:t>
      </w:r>
    </w:p>
    <w:p w14:paraId="546D33CE" w14:textId="77777777" w:rsidR="006B0044" w:rsidRDefault="007133FF">
      <w:pPr>
        <w:spacing w:after="40" w:line="240" w:lineRule="auto"/>
        <w:ind w:left="340" w:hanging="340"/>
      </w:pPr>
      <w:r>
        <w:rPr>
          <w:color w:val="111111"/>
          <w:sz w:val="16"/>
        </w:rPr>
        <w:t>Riadi, I., Yudhana, A., &amp; Sulistyo, W. Y. (2019). Deteksi pemalsuan foto digital menggunakan image forensics. Mobile and Forensics, 1(1). https://doi.org/10.12928/m</w:t>
      </w:r>
      <w:r>
        <w:rPr>
          <w:color w:val="111111"/>
          <w:sz w:val="16"/>
        </w:rPr>
        <w:t>f.v1i1.703</w:t>
      </w:r>
    </w:p>
    <w:p w14:paraId="7C69418B" w14:textId="77777777" w:rsidR="006B0044" w:rsidRDefault="007133FF">
      <w:pPr>
        <w:spacing w:after="40" w:line="240" w:lineRule="auto"/>
        <w:ind w:left="340" w:hanging="340"/>
      </w:pPr>
      <w:r>
        <w:rPr>
          <w:color w:val="111111"/>
          <w:sz w:val="16"/>
        </w:rPr>
        <w:t xml:space="preserve">Rojas Alfaro, C., Ureña Mora, D., Chacón Hernández, M., &amp; Quigley-McBride, A. (2024). A practical approach to mitigating cognitive bias effects in forensic casework. Forensic Science International: Synergy, 10, 100569. </w:t>
      </w:r>
      <w:r>
        <w:rPr>
          <w:color w:val="111111"/>
          <w:sz w:val="16"/>
        </w:rPr>
        <w:t>https://doi.org/10.1016/j.fsisyn.2024.100569</w:t>
      </w:r>
    </w:p>
    <w:p w14:paraId="6D047E49" w14:textId="77777777" w:rsidR="006B0044" w:rsidRDefault="007133FF">
      <w:pPr>
        <w:spacing w:after="40" w:line="240" w:lineRule="auto"/>
        <w:ind w:left="340" w:hanging="340"/>
      </w:pPr>
      <w:r>
        <w:rPr>
          <w:color w:val="111111"/>
          <w:sz w:val="16"/>
        </w:rPr>
        <w:t>Sudiatmika, I. B. K., Rahman, F., Trisno, &amp; Suyoto. (2019). Image forgery detection using error level analysis and deep learning. TELKOMNIKA, 17(2), 653-659. https://doi.org/10.12928/TELKOMNIKA.v17i2.8976</w:t>
      </w:r>
    </w:p>
    <w:p w14:paraId="606D9C0C" w14:textId="77777777" w:rsidR="006B0044" w:rsidRDefault="007133FF">
      <w:pPr>
        <w:spacing w:after="40" w:line="240" w:lineRule="auto"/>
        <w:ind w:left="340" w:hanging="340"/>
      </w:pPr>
      <w:r>
        <w:rPr>
          <w:color w:val="111111"/>
          <w:sz w:val="16"/>
        </w:rPr>
        <w:t>Verdol</w:t>
      </w:r>
      <w:r>
        <w:rPr>
          <w:color w:val="111111"/>
          <w:sz w:val="16"/>
        </w:rPr>
        <w:t>iva, L. (2020). Media forensics and deepfakes: An overview. IEEE Journal of Selected Topics in Signal Processing, 14(5), 910-932.</w:t>
      </w:r>
    </w:p>
    <w:p w14:paraId="680856FE" w14:textId="77777777" w:rsidR="006B0044" w:rsidRDefault="007133FF">
      <w:pPr>
        <w:spacing w:after="40" w:line="240" w:lineRule="auto"/>
        <w:ind w:left="340" w:hanging="340"/>
      </w:pPr>
      <w:r>
        <w:rPr>
          <w:color w:val="111111"/>
          <w:sz w:val="16"/>
        </w:rPr>
        <w:t>Zhang, Z., Wang, C., &amp; Zhou, X. (2018). A survey on passive image copy-move forgery detection. Journal of Information Processi</w:t>
      </w:r>
      <w:r>
        <w:rPr>
          <w:color w:val="111111"/>
          <w:sz w:val="16"/>
        </w:rPr>
        <w:t>ng Systems, 14(1), 6-31.</w:t>
      </w:r>
    </w:p>
    <w:p w14:paraId="22FE37ED" w14:textId="77777777" w:rsidR="006B0044" w:rsidRDefault="007133FF">
      <w:pPr>
        <w:jc w:val="center"/>
      </w:pPr>
      <w:r>
        <w:rPr>
          <w:b/>
          <w:color w:val="2F66B3"/>
          <w:sz w:val="16"/>
        </w:rPr>
        <w:t>© 2026 The Author(s) | Open Access</w:t>
      </w:r>
    </w:p>
    <w:sectPr w:rsidR="006B0044" w:rsidSect="00852998">
      <w:headerReference w:type="default" r:id="rId8"/>
      <w:footerReference w:type="default" r:id="rId9"/>
      <w:pgSz w:w="11906" w:h="16838"/>
      <w:pgMar w:top="907" w:right="1134" w:bottom="907" w:left="1134" w:header="397" w:footer="397" w:gutter="0"/>
      <w:pgNumType w:start="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B07BB" w14:textId="77777777" w:rsidR="007133FF" w:rsidRDefault="007133FF">
      <w:pPr>
        <w:spacing w:after="0" w:line="240" w:lineRule="auto"/>
      </w:pPr>
      <w:r>
        <w:separator/>
      </w:r>
    </w:p>
  </w:endnote>
  <w:endnote w:type="continuationSeparator" w:id="0">
    <w:p w14:paraId="6DC6F541" w14:textId="77777777" w:rsidR="007133FF" w:rsidRDefault="0071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9CC82" w14:textId="77777777" w:rsidR="006B0044" w:rsidRDefault="007133FF">
    <w:pPr>
      <w:pStyle w:val="Footer"/>
      <w:jc w:val="center"/>
    </w:pPr>
    <w:r>
      <w:rPr>
        <w:color w:val="666666"/>
        <w:sz w:val="16"/>
      </w:rPr>
      <w:t xml:space="preserve">https://jurnal.aretelitera.com/JASTE/   |   </w:t>
    </w:r>
    <w:r>
      <w:rPr>
        <w:color w:val="666666"/>
        <w:sz w:val="16"/>
      </w:rPr>
      <w:fldChar w:fldCharType="begin"/>
    </w:r>
    <w:r>
      <w:rPr>
        <w:color w:val="666666"/>
        <w:sz w:val="16"/>
      </w:rPr>
      <w:instrText xml:space="preserve"> PAGE </w:instrText>
    </w:r>
    <w:r w:rsidR="00852998">
      <w:rPr>
        <w:color w:val="666666"/>
        <w:sz w:val="16"/>
      </w:rPr>
      <w:fldChar w:fldCharType="separate"/>
    </w:r>
    <w:r w:rsidR="00852998">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32A0D" w14:textId="77777777" w:rsidR="007133FF" w:rsidRDefault="007133FF">
      <w:pPr>
        <w:spacing w:after="0" w:line="240" w:lineRule="auto"/>
      </w:pPr>
      <w:r>
        <w:separator/>
      </w:r>
    </w:p>
  </w:footnote>
  <w:footnote w:type="continuationSeparator" w:id="0">
    <w:p w14:paraId="2192D10D" w14:textId="77777777" w:rsidR="007133FF" w:rsidRDefault="00713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8B04" w14:textId="77777777" w:rsidR="006B0044" w:rsidRDefault="007133FF">
    <w:pPr>
      <w:pStyle w:val="Header"/>
      <w:pBdr>
        <w:bottom w:val="single" w:sz="8" w:space="0" w:color="2F66B3"/>
      </w:pBdr>
    </w:pPr>
    <w:r>
      <w:rPr>
        <w:b/>
        <w:color w:val="2F66B3"/>
        <w:sz w:val="18"/>
      </w:rPr>
      <w:t>JASTE</w:t>
    </w:r>
    <w:r>
      <w:rPr>
        <w:color w:val="666666"/>
        <w:sz w:val="16"/>
      </w:rPr>
      <w:t xml:space="preserve">  |  Journal of Applied Science and Technology in 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B0044"/>
    <w:rsid w:val="007133FF"/>
    <w:rsid w:val="0085299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9117A0"/>
  <w14:defaultImageDpi w14:val="300"/>
  <w15:docId w15:val="{4BC7412D-E204-4475-B9F8-5AD92879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59"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ASTEH1">
    <w:name w:val="JASTE H1"/>
    <w:pPr>
      <w:keepNext/>
      <w:spacing w:before="140" w:after="60"/>
    </w:pPr>
    <w:rPr>
      <w:rFonts w:ascii="Times New Roman" w:hAnsi="Times New Roman"/>
      <w:b/>
      <w:color w:val="2F66B3"/>
      <w:sz w:val="20"/>
    </w:rPr>
  </w:style>
  <w:style w:type="paragraph" w:customStyle="1" w:styleId="JASTEH2">
    <w:name w:val="JASTE H2"/>
    <w:pPr>
      <w:keepNext/>
      <w:spacing w:before="140" w:after="60"/>
    </w:pPr>
    <w:rPr>
      <w:rFonts w:ascii="Times New Roman" w:hAnsi="Times New Roman"/>
      <w:b/>
      <w:color w:val="11111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7422</Words>
  <Characters>42312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Image Forensics for Authenticating WhatsApp Screenshots Using Metadata and Error-Level Analysis</dc:title>
  <dc:subject>JASTE initial article, expanded version</dc:subject>
  <dc:creator>Margareth Simanjuntak¹</dc:creator>
  <cp:keywords/>
  <dc:description>generated by python-docx</dc:description>
  <cp:lastModifiedBy>erislan stmm</cp:lastModifiedBy>
  <cp:revision>2</cp:revision>
  <dcterms:created xsi:type="dcterms:W3CDTF">2013-12-23T23:15:00Z</dcterms:created>
  <dcterms:modified xsi:type="dcterms:W3CDTF">2026-08-25T03:54:00Z</dcterms:modified>
  <cp:category/>
</cp:coreProperties>
</file>