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4819"/>
        <w:gridCol w:w="4819"/>
      </w:tblGrid>
      <w:tr w:rsidR="001F25EE" w14:paraId="65755106" w14:textId="77777777">
        <w:trPr>
          <w:jc w:val="center"/>
        </w:trPr>
        <w:tc>
          <w:tcPr>
            <w:tcW w:w="4819" w:type="dxa"/>
            <w:shd w:val="clear" w:color="auto" w:fill="EAF7FA"/>
          </w:tcPr>
          <w:p w14:paraId="2863C136" w14:textId="77777777" w:rsidR="001F25EE" w:rsidRDefault="00787332">
            <w:r>
              <w:rPr>
                <w:b/>
                <w:color w:val="2F66B3"/>
                <w:sz w:val="22"/>
              </w:rPr>
              <w:t>JOURNAL OF APPLIED SCIENCE AND TECHNOLOGY IN ENGINEERING</w:t>
            </w:r>
            <w:r>
              <w:br/>
            </w:r>
            <w:r>
              <w:rPr>
                <w:color w:val="666666"/>
                <w:sz w:val="16"/>
              </w:rPr>
              <w:t>Published by Arete Litera under PT Arete Mahardika Saqhi</w:t>
            </w:r>
          </w:p>
        </w:tc>
        <w:tc>
          <w:tcPr>
            <w:tcW w:w="4819" w:type="dxa"/>
            <w:shd w:val="clear" w:color="auto" w:fill="2F66B3"/>
          </w:tcPr>
          <w:p w14:paraId="15F7FB6D" w14:textId="77777777" w:rsidR="001F25EE" w:rsidRDefault="00787332">
            <w:pPr>
              <w:jc w:val="right"/>
            </w:pPr>
            <w:r>
              <w:rPr>
                <w:b/>
                <w:color w:val="FFFFFF"/>
                <w:sz w:val="16"/>
              </w:rPr>
              <w:t>Vol. 1, No. 1</w:t>
            </w:r>
            <w:r>
              <w:rPr>
                <w:b/>
                <w:color w:val="FFFFFF"/>
                <w:sz w:val="16"/>
              </w:rPr>
              <w:br/>
              <w:t>February 2026</w:t>
            </w:r>
            <w:r>
              <w:rPr>
                <w:b/>
                <w:color w:val="FFFFFF"/>
                <w:sz w:val="16"/>
              </w:rPr>
              <w:br/>
              <w:t>P-ISSN: XXXX-XXXX</w:t>
            </w:r>
            <w:r>
              <w:rPr>
                <w:b/>
                <w:color w:val="FFFFFF"/>
                <w:sz w:val="16"/>
              </w:rPr>
              <w:br/>
              <w:t>E-ISSN: XXXX-XXXX</w:t>
            </w:r>
          </w:p>
        </w:tc>
      </w:tr>
    </w:tbl>
    <w:p w14:paraId="60B23782" w14:textId="77777777" w:rsidR="001F25EE" w:rsidRDefault="00787332">
      <w:pPr>
        <w:spacing w:before="200" w:after="120"/>
        <w:jc w:val="center"/>
      </w:pPr>
      <w:r>
        <w:rPr>
          <w:b/>
          <w:color w:val="111111"/>
          <w:sz w:val="28"/>
        </w:rPr>
        <w:t xml:space="preserve">A Deepfake-Voice-Resilient Authentication Architecture Using </w:t>
      </w:r>
      <w:r>
        <w:rPr>
          <w:b/>
          <w:color w:val="111111"/>
          <w:sz w:val="28"/>
        </w:rPr>
        <w:t>Nonlinear Spectral Analysis for Older Adult Digital Assistants</w:t>
      </w:r>
    </w:p>
    <w:p w14:paraId="30085862" w14:textId="77777777" w:rsidR="001F25EE" w:rsidRDefault="00787332">
      <w:pPr>
        <w:jc w:val="center"/>
      </w:pPr>
      <w:r>
        <w:rPr>
          <w:b/>
          <w:color w:val="111111"/>
        </w:rPr>
        <w:t>Asep Suhendar¹*</w:t>
      </w:r>
    </w:p>
    <w:p w14:paraId="4B337F7E" w14:textId="77777777" w:rsidR="001F25EE" w:rsidRDefault="00787332">
      <w:pPr>
        <w:jc w:val="center"/>
      </w:pPr>
      <w:r>
        <w:rPr>
          <w:i/>
          <w:color w:val="666666"/>
          <w:sz w:val="18"/>
        </w:rPr>
        <w:t>¹ Universitas Islam Nusantara, Indonesia</w:t>
      </w:r>
    </w:p>
    <w:p w14:paraId="11AEE117" w14:textId="77777777" w:rsidR="001F25EE" w:rsidRDefault="00787332">
      <w:pPr>
        <w:jc w:val="center"/>
      </w:pPr>
      <w:r>
        <w:rPr>
          <w:color w:val="2F66B3"/>
          <w:sz w:val="18"/>
        </w:rPr>
        <w:t>*Corresponding author: suhendar_asep007@gmail.com</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2409"/>
        <w:gridCol w:w="2409"/>
        <w:gridCol w:w="2409"/>
        <w:gridCol w:w="2409"/>
      </w:tblGrid>
      <w:tr w:rsidR="001F25EE" w14:paraId="052CCC0D" w14:textId="77777777">
        <w:trPr>
          <w:jc w:val="center"/>
        </w:trPr>
        <w:tc>
          <w:tcPr>
            <w:tcW w:w="2409" w:type="dxa"/>
            <w:shd w:val="clear" w:color="auto" w:fill="F1F3F6"/>
          </w:tcPr>
          <w:p w14:paraId="7CFDDA70" w14:textId="77777777" w:rsidR="001F25EE" w:rsidRDefault="00787332">
            <w:r>
              <w:rPr>
                <w:b/>
                <w:color w:val="2F66B3"/>
                <w:sz w:val="16"/>
              </w:rPr>
              <w:t>Received</w:t>
            </w:r>
          </w:p>
        </w:tc>
        <w:tc>
          <w:tcPr>
            <w:tcW w:w="2409" w:type="dxa"/>
          </w:tcPr>
          <w:p w14:paraId="31B1E589" w14:textId="77777777" w:rsidR="001F25EE" w:rsidRDefault="00787332">
            <w:r>
              <w:rPr>
                <w:color w:val="666666"/>
                <w:sz w:val="16"/>
              </w:rPr>
              <w:t>DD Month 2026</w:t>
            </w:r>
          </w:p>
        </w:tc>
        <w:tc>
          <w:tcPr>
            <w:tcW w:w="2409" w:type="dxa"/>
            <w:shd w:val="clear" w:color="auto" w:fill="F1F3F6"/>
          </w:tcPr>
          <w:p w14:paraId="10BF9383" w14:textId="77777777" w:rsidR="001F25EE" w:rsidRDefault="00787332">
            <w:r>
              <w:rPr>
                <w:b/>
                <w:color w:val="2F66B3"/>
                <w:sz w:val="16"/>
              </w:rPr>
              <w:t>Revised</w:t>
            </w:r>
          </w:p>
        </w:tc>
        <w:tc>
          <w:tcPr>
            <w:tcW w:w="2409" w:type="dxa"/>
          </w:tcPr>
          <w:p w14:paraId="208ABACB" w14:textId="77777777" w:rsidR="001F25EE" w:rsidRDefault="00787332">
            <w:r>
              <w:rPr>
                <w:color w:val="666666"/>
                <w:sz w:val="16"/>
              </w:rPr>
              <w:t>DD Month 2026</w:t>
            </w:r>
          </w:p>
        </w:tc>
      </w:tr>
      <w:tr w:rsidR="001F25EE" w14:paraId="26A73306" w14:textId="77777777">
        <w:trPr>
          <w:jc w:val="center"/>
        </w:trPr>
        <w:tc>
          <w:tcPr>
            <w:tcW w:w="2409" w:type="dxa"/>
            <w:shd w:val="clear" w:color="auto" w:fill="F1F3F6"/>
          </w:tcPr>
          <w:p w14:paraId="229CBB15" w14:textId="77777777" w:rsidR="001F25EE" w:rsidRDefault="00787332">
            <w:r>
              <w:rPr>
                <w:b/>
                <w:color w:val="2F66B3"/>
                <w:sz w:val="16"/>
              </w:rPr>
              <w:t>Accepted</w:t>
            </w:r>
          </w:p>
        </w:tc>
        <w:tc>
          <w:tcPr>
            <w:tcW w:w="2409" w:type="dxa"/>
          </w:tcPr>
          <w:p w14:paraId="71C1DC7C" w14:textId="77777777" w:rsidR="001F25EE" w:rsidRDefault="00787332">
            <w:r>
              <w:rPr>
                <w:color w:val="666666"/>
                <w:sz w:val="16"/>
              </w:rPr>
              <w:t>DD Month 2026</w:t>
            </w:r>
          </w:p>
        </w:tc>
        <w:tc>
          <w:tcPr>
            <w:tcW w:w="2409" w:type="dxa"/>
            <w:shd w:val="clear" w:color="auto" w:fill="F1F3F6"/>
          </w:tcPr>
          <w:p w14:paraId="3534624E" w14:textId="77777777" w:rsidR="001F25EE" w:rsidRDefault="00787332">
            <w:r>
              <w:rPr>
                <w:b/>
                <w:color w:val="2F66B3"/>
                <w:sz w:val="16"/>
              </w:rPr>
              <w:t>Published</w:t>
            </w:r>
          </w:p>
        </w:tc>
        <w:tc>
          <w:tcPr>
            <w:tcW w:w="2409" w:type="dxa"/>
          </w:tcPr>
          <w:p w14:paraId="35AC1B7C" w14:textId="77777777" w:rsidR="001F25EE" w:rsidRDefault="00787332">
            <w:r>
              <w:rPr>
                <w:color w:val="666666"/>
                <w:sz w:val="16"/>
              </w:rPr>
              <w:t>DD Month 2026</w:t>
            </w:r>
          </w:p>
        </w:tc>
      </w:tr>
    </w:tbl>
    <w:p w14:paraId="775D31E3" w14:textId="77777777" w:rsidR="001F25EE" w:rsidRDefault="00787332">
      <w:pPr>
        <w:pStyle w:val="JASTEH1"/>
      </w:pPr>
      <w:r>
        <w:t>ABSTRACT</w:t>
      </w:r>
    </w:p>
    <w:p w14:paraId="4D4FC0F5" w14:textId="77777777" w:rsidR="001F25EE" w:rsidRDefault="00787332">
      <w:pPr>
        <w:spacing w:after="60"/>
        <w:jc w:val="both"/>
      </w:pPr>
      <w:r>
        <w:rPr>
          <w:i/>
          <w:color w:val="111111"/>
        </w:rPr>
        <w:t>Voice-enabled digital assistants can improve accessibility for older adults, but voice authentication is increasingly vulnerable to synthetic speech and voice-conversion attacks. This conceptual engineering article propose</w:t>
      </w:r>
      <w:r>
        <w:rPr>
          <w:i/>
          <w:color w:val="111111"/>
        </w:rPr>
        <w:t>s a deepfake-voice-resilient authentication architecture centered on multi-resolution spectral analysis, nonlinear feature interactions, spoof detection, speaker verification, and risk-based challenge escalation. The architecture transforms an input signal</w:t>
      </w:r>
      <w:r>
        <w:rPr>
          <w:i/>
          <w:color w:val="111111"/>
        </w:rPr>
        <w:t xml:space="preserve"> into complementary short-time Fourier, constant-Q, and cepstral representations; extracts spectral, phase, pitch, and temporal consistency features; and fuses a spoof probability with speaker-verification evidence. Nonlinear modeling is used to capture in</w:t>
      </w:r>
      <w:r>
        <w:rPr>
          <w:i/>
          <w:color w:val="111111"/>
        </w:rPr>
        <w:t>teractions among frequency bands and temporal artifacts rather than relying on a single spectral threshold. The proposed system prioritizes accessibility through short prompts, repeat options, noise-aware feedback, and fallback authentication. Evaluation s</w:t>
      </w:r>
      <w:r>
        <w:rPr>
          <w:i/>
          <w:color w:val="111111"/>
        </w:rPr>
        <w:t>hould use genuine and synthetic speech from multiple generators, codecs, microphones, languages, ages, and acoustic environments. Equal error rate, tandem detection cost, spoof false-acceptance rate, genuine rejection, calibration, latency, and subgroup pe</w:t>
      </w:r>
      <w:r>
        <w:rPr>
          <w:i/>
          <w:color w:val="111111"/>
        </w:rPr>
        <w:t>rformance should be reported. The review concludes that robust voice authentication requires a layered architecture and explicit testing against unseen attacks. Spectral analysis is valuable, but operational resilience depends equally on generalization, se</w:t>
      </w:r>
      <w:r>
        <w:rPr>
          <w:i/>
          <w:color w:val="111111"/>
        </w:rPr>
        <w:t>cure enrollment, liveness checks, and human-centered fallback procedures.</w:t>
      </w:r>
    </w:p>
    <w:p w14:paraId="07AA5BA3" w14:textId="77777777" w:rsidR="001F25EE" w:rsidRDefault="00787332">
      <w:r>
        <w:rPr>
          <w:b/>
          <w:color w:val="2F66B3"/>
          <w:sz w:val="18"/>
        </w:rPr>
        <w:t xml:space="preserve">Keywords: </w:t>
      </w:r>
      <w:r>
        <w:rPr>
          <w:i/>
          <w:color w:val="111111"/>
          <w:sz w:val="18"/>
        </w:rPr>
        <w:t>audio deepfake; voice authentication; spectral analysis; anti-spoofing; digital assistant</w:t>
      </w:r>
    </w:p>
    <w:p w14:paraId="2D8A2D85" w14:textId="77777777" w:rsidR="001F25EE" w:rsidRDefault="00787332">
      <w:pPr>
        <w:pStyle w:val="JASTEH1"/>
      </w:pPr>
      <w:r>
        <w:t>1. INTRODUCTION</w:t>
      </w:r>
    </w:p>
    <w:p w14:paraId="29010EBA" w14:textId="77777777" w:rsidR="001F25EE" w:rsidRDefault="00787332">
      <w:pPr>
        <w:spacing w:after="80"/>
        <w:jc w:val="both"/>
      </w:pPr>
      <w:r>
        <w:t xml:space="preserve">Synthetic speech has improved rapidly through </w:t>
      </w:r>
      <w:r>
        <w:t>text-to-speech and voice-conversion systems. The same progress that enables personalized digital assistants also creates attacks capable of imitating an enrolled speaker. Older adults may be disproportionately affected when voice is used as the most access</w:t>
      </w:r>
      <w:r>
        <w:t>ible authentication channel. Community benchmark results confirm that modern text-to-speech, voice conversion, and replay attacks remain material threats to automatic speaker verification (Todisco et al., 2019).</w:t>
      </w:r>
    </w:p>
    <w:p w14:paraId="289EAD05" w14:textId="77777777" w:rsidR="001F25EE" w:rsidRDefault="00787332">
      <w:pPr>
        <w:spacing w:after="80"/>
        <w:jc w:val="both"/>
      </w:pPr>
      <w:r>
        <w:t xml:space="preserve">Conventional speaker verification estimates </w:t>
      </w:r>
      <w:r>
        <w:t>whether speech matches an enrolled identity. It does not necessarily determine whether the speech was produced live by that person. A resilient design therefore needs a dedicated spoof-detection stage and a policy for handling uncertainty. Speaker verifica</w:t>
      </w:r>
      <w:r>
        <w:t>tion and spoof detection are therefore complementary functions: the first estimates speaker identity, while the second evaluates whether the signal is bona fide (Kinnunen et al., 2018; Pan et al., 2022).</w:t>
      </w:r>
    </w:p>
    <w:p w14:paraId="6A605C2D" w14:textId="77777777" w:rsidR="001F25EE" w:rsidRDefault="00787332">
      <w:pPr>
        <w:pStyle w:val="JASTEH1"/>
      </w:pPr>
      <w:r>
        <w:t>2. BACKGROUND AND PROBLEM FORMULATION</w:t>
      </w:r>
    </w:p>
    <w:p w14:paraId="0DBD0F81" w14:textId="77777777" w:rsidR="001F25EE" w:rsidRDefault="00787332">
      <w:pPr>
        <w:spacing w:after="80"/>
        <w:jc w:val="both"/>
      </w:pPr>
      <w:r>
        <w:t>The engineerin</w:t>
      </w:r>
      <w:r>
        <w:t>g problem addressed in this article concerns voice security for digital assistants used by older adults. The central difficulty is that synthetic speech and voice conversion can imitate enrolled speakers while accessibility constraints make rigid authentic</w:t>
      </w:r>
      <w:r>
        <w:t>ation difficult. A useful design must therefore separate observable signals from interpretation, document uncertainty, and preserve a clear route for human verification. The proposed contribution is a layered deepfake-voice-resilient authentication archite</w:t>
      </w:r>
      <w:r>
        <w:t>cture, expressed as a testable architecture rather than as a claim of completed field performance. This separation is consistent with current digital-identity guidance, which treats biometric comparison as probabilistic and requires an alternative authenti</w:t>
      </w:r>
      <w:r>
        <w:t>cation route rather than relying on voice as a standalone factor (Temoshok et al., 2025).</w:t>
      </w:r>
    </w:p>
    <w:p w14:paraId="29088395" w14:textId="77777777" w:rsidR="001F25EE" w:rsidRDefault="00787332">
      <w:pPr>
        <w:spacing w:after="80"/>
        <w:jc w:val="both"/>
      </w:pPr>
      <w:r>
        <w:t xml:space="preserve">The intended evidence base combines peer-reviewed technical studies, recognised evaluation practices, and implementation constraints reported for comparable systems. </w:t>
      </w:r>
      <w:r>
        <w:t>The synthesis treats quality-controlled speech, device and codec context, spectral and learned representations, speaker-verification evidence, liveness cues, interaction history, and accessibility preferences as potential inputs whose availability, quality</w:t>
      </w:r>
      <w:r>
        <w:t xml:space="preserve">, legality, and relevance must be assessed before </w:t>
      </w:r>
      <w:r>
        <w:lastRenderedPageBreak/>
        <w:t>use. No input is assumed to be complete or intrinsically trustworthy; provenance and quality controls are part of the system boundary. ASVspoof challenge protocols provide an established basis for comparing</w:t>
      </w:r>
      <w:r>
        <w:t xml:space="preserve"> logical-access, physical-access, and deepfake conditions, including channel and compression variability (X. Chen et al., 2021; Todisco et al., 2019).</w:t>
      </w:r>
    </w:p>
    <w:p w14:paraId="46ACBC0D" w14:textId="77777777" w:rsidR="001F25EE" w:rsidRDefault="00787332">
      <w:pPr>
        <w:spacing w:after="80"/>
        <w:jc w:val="both"/>
      </w:pPr>
      <w:r>
        <w:t>The main design layers are capture quality control, complementary spectral features, spoof detection, spe</w:t>
      </w:r>
      <w:r>
        <w:t>aker verification, calibrated fusion, uncertainty handling, fallback authentication, and secure enrolment. These layers are connected by explicit interfaces so that a failure can be traced to acquisition, processing, decision logic, user interaction, or go</w:t>
      </w:r>
      <w:r>
        <w:t>vernance. This decomposition also supports modular testing: one component can be replaced or recalibrated without treating the entire pipeline as an unexplained black box. Modular decomposition also reflects the tandem nature of speaker verification and co</w:t>
      </w:r>
      <w:r>
        <w:t>untermeasure evaluation captured by the t-DCF framework (Kinnunen et al., 2018).</w:t>
      </w:r>
    </w:p>
    <w:p w14:paraId="6BB71F27" w14:textId="77777777" w:rsidR="001F25EE" w:rsidRDefault="00787332">
      <w:pPr>
        <w:spacing w:after="80"/>
        <w:jc w:val="both"/>
      </w:pPr>
      <w:r>
        <w:rPr>
          <w:color w:val="111111"/>
        </w:rPr>
        <w:t>The framework is intended for older adults, caregivers, security engineers, speech researchers, digital-assistant providers, and privacy officers. Their needs are not identica</w:t>
      </w:r>
      <w:r>
        <w:rPr>
          <w:color w:val="111111"/>
        </w:rPr>
        <w:t>l. Technical personnel require reproducibility and observability, domain professionals require interpretable and bounded outputs, administrators require accountability and maintainability, and end users require accessible interaction and protection from av</w:t>
      </w:r>
      <w:r>
        <w:rPr>
          <w:color w:val="111111"/>
        </w:rPr>
        <w:t>oidable harm. Requirements should therefore be negotiated across stakeholders before prototype development.</w:t>
      </w:r>
    </w:p>
    <w:p w14:paraId="6B33129A" w14:textId="77777777" w:rsidR="001F25EE" w:rsidRDefault="00787332">
      <w:pPr>
        <w:spacing w:before="100" w:after="60"/>
        <w:jc w:val="center"/>
      </w:pPr>
      <w:r>
        <w:rPr>
          <w:b/>
          <w:color w:val="111111"/>
          <w:sz w:val="18"/>
        </w:rPr>
        <w:t>Table 1. Problem Context and Design Response</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213"/>
        <w:gridCol w:w="3213"/>
        <w:gridCol w:w="3213"/>
      </w:tblGrid>
      <w:tr w:rsidR="001F25EE" w14:paraId="25CD7C62" w14:textId="77777777">
        <w:trPr>
          <w:jc w:val="center"/>
        </w:trPr>
        <w:tc>
          <w:tcPr>
            <w:tcW w:w="3213" w:type="dxa"/>
            <w:shd w:val="clear" w:color="auto" w:fill="2F66B3"/>
          </w:tcPr>
          <w:p w14:paraId="215D8C77" w14:textId="77777777" w:rsidR="001F25EE" w:rsidRDefault="00787332">
            <w:pPr>
              <w:jc w:val="center"/>
            </w:pPr>
            <w:r>
              <w:rPr>
                <w:b/>
                <w:color w:val="FFFFFF"/>
                <w:sz w:val="15"/>
              </w:rPr>
              <w:t>Dimension</w:t>
            </w:r>
          </w:p>
        </w:tc>
        <w:tc>
          <w:tcPr>
            <w:tcW w:w="3213" w:type="dxa"/>
            <w:shd w:val="clear" w:color="auto" w:fill="2F66B3"/>
          </w:tcPr>
          <w:p w14:paraId="1CE28813" w14:textId="77777777" w:rsidR="001F25EE" w:rsidRDefault="00787332">
            <w:pPr>
              <w:jc w:val="center"/>
            </w:pPr>
            <w:r>
              <w:rPr>
                <w:b/>
                <w:color w:val="FFFFFF"/>
                <w:sz w:val="15"/>
              </w:rPr>
              <w:t>Engineering concern</w:t>
            </w:r>
          </w:p>
        </w:tc>
        <w:tc>
          <w:tcPr>
            <w:tcW w:w="3213" w:type="dxa"/>
            <w:shd w:val="clear" w:color="auto" w:fill="2F66B3"/>
          </w:tcPr>
          <w:p w14:paraId="398B0862" w14:textId="77777777" w:rsidR="001F25EE" w:rsidRDefault="00787332">
            <w:pPr>
              <w:jc w:val="center"/>
            </w:pPr>
            <w:r>
              <w:rPr>
                <w:b/>
                <w:color w:val="FFFFFF"/>
                <w:sz w:val="15"/>
              </w:rPr>
              <w:t>Required response</w:t>
            </w:r>
          </w:p>
        </w:tc>
      </w:tr>
      <w:tr w:rsidR="001F25EE" w14:paraId="6C0D36F9" w14:textId="77777777">
        <w:trPr>
          <w:jc w:val="center"/>
        </w:trPr>
        <w:tc>
          <w:tcPr>
            <w:tcW w:w="3213" w:type="dxa"/>
            <w:vAlign w:val="center"/>
          </w:tcPr>
          <w:p w14:paraId="57297AD7" w14:textId="77777777" w:rsidR="001F25EE" w:rsidRDefault="00787332">
            <w:pPr>
              <w:spacing w:after="0"/>
            </w:pPr>
            <w:r>
              <w:rPr>
                <w:color w:val="111111"/>
                <w:sz w:val="15"/>
              </w:rPr>
              <w:t>Evidence</w:t>
            </w:r>
          </w:p>
        </w:tc>
        <w:tc>
          <w:tcPr>
            <w:tcW w:w="3213" w:type="dxa"/>
            <w:vAlign w:val="center"/>
          </w:tcPr>
          <w:p w14:paraId="6D5A6FA2" w14:textId="77777777" w:rsidR="001F25EE" w:rsidRDefault="00787332">
            <w:pPr>
              <w:spacing w:after="0"/>
            </w:pPr>
            <w:r>
              <w:rPr>
                <w:color w:val="111111"/>
                <w:sz w:val="15"/>
              </w:rPr>
              <w:t xml:space="preserve">Incomplete or </w:t>
            </w:r>
            <w:r>
              <w:rPr>
                <w:color w:val="111111"/>
                <w:sz w:val="15"/>
              </w:rPr>
              <w:t>context-dependent inputs</w:t>
            </w:r>
          </w:p>
        </w:tc>
        <w:tc>
          <w:tcPr>
            <w:tcW w:w="3213" w:type="dxa"/>
            <w:vAlign w:val="center"/>
          </w:tcPr>
          <w:p w14:paraId="41797869" w14:textId="77777777" w:rsidR="001F25EE" w:rsidRDefault="00787332">
            <w:pPr>
              <w:spacing w:after="0"/>
            </w:pPr>
            <w:r>
              <w:rPr>
                <w:color w:val="111111"/>
                <w:sz w:val="15"/>
              </w:rPr>
              <w:t>Provenance and quality controls</w:t>
            </w:r>
          </w:p>
        </w:tc>
      </w:tr>
      <w:tr w:rsidR="001F25EE" w14:paraId="7A09057D" w14:textId="77777777">
        <w:trPr>
          <w:jc w:val="center"/>
        </w:trPr>
        <w:tc>
          <w:tcPr>
            <w:tcW w:w="3213" w:type="dxa"/>
            <w:vAlign w:val="center"/>
          </w:tcPr>
          <w:p w14:paraId="5202DEB3" w14:textId="77777777" w:rsidR="001F25EE" w:rsidRDefault="00787332">
            <w:pPr>
              <w:spacing w:after="0"/>
            </w:pPr>
            <w:r>
              <w:rPr>
                <w:color w:val="111111"/>
                <w:sz w:val="15"/>
              </w:rPr>
              <w:t>Processing</w:t>
            </w:r>
          </w:p>
        </w:tc>
        <w:tc>
          <w:tcPr>
            <w:tcW w:w="3213" w:type="dxa"/>
            <w:vAlign w:val="center"/>
          </w:tcPr>
          <w:p w14:paraId="532656C3" w14:textId="77777777" w:rsidR="001F25EE" w:rsidRDefault="00787332">
            <w:pPr>
              <w:spacing w:after="0"/>
            </w:pPr>
            <w:r>
              <w:rPr>
                <w:color w:val="111111"/>
                <w:sz w:val="15"/>
              </w:rPr>
              <w:t>Version-sensitive transformations</w:t>
            </w:r>
          </w:p>
        </w:tc>
        <w:tc>
          <w:tcPr>
            <w:tcW w:w="3213" w:type="dxa"/>
            <w:vAlign w:val="center"/>
          </w:tcPr>
          <w:p w14:paraId="00DB5999" w14:textId="77777777" w:rsidR="001F25EE" w:rsidRDefault="00787332">
            <w:pPr>
              <w:spacing w:after="0"/>
            </w:pPr>
            <w:r>
              <w:rPr>
                <w:color w:val="111111"/>
                <w:sz w:val="15"/>
              </w:rPr>
              <w:t>Observable modular services</w:t>
            </w:r>
          </w:p>
        </w:tc>
      </w:tr>
      <w:tr w:rsidR="001F25EE" w14:paraId="39CE3B1F" w14:textId="77777777">
        <w:trPr>
          <w:jc w:val="center"/>
        </w:trPr>
        <w:tc>
          <w:tcPr>
            <w:tcW w:w="3213" w:type="dxa"/>
            <w:vAlign w:val="center"/>
          </w:tcPr>
          <w:p w14:paraId="4724947B" w14:textId="77777777" w:rsidR="001F25EE" w:rsidRDefault="00787332">
            <w:pPr>
              <w:spacing w:after="0"/>
            </w:pPr>
            <w:r>
              <w:rPr>
                <w:color w:val="111111"/>
                <w:sz w:val="15"/>
              </w:rPr>
              <w:t>Decision</w:t>
            </w:r>
          </w:p>
        </w:tc>
        <w:tc>
          <w:tcPr>
            <w:tcW w:w="3213" w:type="dxa"/>
            <w:vAlign w:val="center"/>
          </w:tcPr>
          <w:p w14:paraId="616112AA" w14:textId="77777777" w:rsidR="001F25EE" w:rsidRDefault="00787332">
            <w:pPr>
              <w:spacing w:after="0"/>
            </w:pPr>
            <w:r>
              <w:rPr>
                <w:color w:val="111111"/>
                <w:sz w:val="15"/>
              </w:rPr>
              <w:t>Uncertainty and asymmetric error costs</w:t>
            </w:r>
          </w:p>
        </w:tc>
        <w:tc>
          <w:tcPr>
            <w:tcW w:w="3213" w:type="dxa"/>
            <w:vAlign w:val="center"/>
          </w:tcPr>
          <w:p w14:paraId="6415F7BF" w14:textId="77777777" w:rsidR="001F25EE" w:rsidRDefault="00787332">
            <w:pPr>
              <w:spacing w:after="0"/>
            </w:pPr>
            <w:r>
              <w:rPr>
                <w:color w:val="111111"/>
                <w:sz w:val="15"/>
              </w:rPr>
              <w:t>Calibration, abstention, escalation</w:t>
            </w:r>
          </w:p>
        </w:tc>
      </w:tr>
      <w:tr w:rsidR="001F25EE" w14:paraId="3EBDADFF" w14:textId="77777777">
        <w:trPr>
          <w:jc w:val="center"/>
        </w:trPr>
        <w:tc>
          <w:tcPr>
            <w:tcW w:w="3213" w:type="dxa"/>
            <w:vAlign w:val="center"/>
          </w:tcPr>
          <w:p w14:paraId="37BEDAD8" w14:textId="77777777" w:rsidR="001F25EE" w:rsidRDefault="00787332">
            <w:pPr>
              <w:spacing w:after="0"/>
            </w:pPr>
            <w:r>
              <w:rPr>
                <w:color w:val="111111"/>
                <w:sz w:val="15"/>
              </w:rPr>
              <w:t>Use</w:t>
            </w:r>
          </w:p>
        </w:tc>
        <w:tc>
          <w:tcPr>
            <w:tcW w:w="3213" w:type="dxa"/>
            <w:vAlign w:val="center"/>
          </w:tcPr>
          <w:p w14:paraId="2FDE6E5B" w14:textId="77777777" w:rsidR="001F25EE" w:rsidRDefault="00787332">
            <w:pPr>
              <w:spacing w:after="0"/>
            </w:pPr>
            <w:r>
              <w:rPr>
                <w:color w:val="111111"/>
                <w:sz w:val="15"/>
              </w:rPr>
              <w:t>Different stakeholder needs</w:t>
            </w:r>
          </w:p>
        </w:tc>
        <w:tc>
          <w:tcPr>
            <w:tcW w:w="3213" w:type="dxa"/>
            <w:vAlign w:val="center"/>
          </w:tcPr>
          <w:p w14:paraId="033C6364" w14:textId="77777777" w:rsidR="001F25EE" w:rsidRDefault="00787332">
            <w:pPr>
              <w:spacing w:after="0"/>
            </w:pPr>
            <w:r>
              <w:rPr>
                <w:color w:val="111111"/>
                <w:sz w:val="15"/>
              </w:rPr>
              <w:t>Role-based and accessible interfaces</w:t>
            </w:r>
          </w:p>
        </w:tc>
      </w:tr>
    </w:tbl>
    <w:p w14:paraId="0DC8F219" w14:textId="77777777" w:rsidR="001F25EE" w:rsidRDefault="00787332">
      <w:pPr>
        <w:spacing w:after="80"/>
        <w:jc w:val="both"/>
      </w:pPr>
      <w:r>
        <w:rPr>
          <w:color w:val="111111"/>
        </w:rPr>
        <w:t>A requirements baseline should translate this problem formulation into verifiable statements. For voice security for digital assistants used by older adults, each requirement should identify the triggering condition, e</w:t>
      </w:r>
      <w:r>
        <w:rPr>
          <w:color w:val="111111"/>
        </w:rPr>
        <w:t>xpected response, measurable acceptance criterion, and responsible reviewer. Traceability is important because later changes to data, software, devices, or workflow can otherwise disconnect implementation from the original purpose. The baseline should also</w:t>
      </w:r>
      <w:r>
        <w:rPr>
          <w:color w:val="111111"/>
        </w:rPr>
        <w:t xml:space="preserve"> record explicit non-goals so that users do not infer unsupported functions from the presence of an advanced technical component.</w:t>
      </w:r>
    </w:p>
    <w:p w14:paraId="70FC671F" w14:textId="77777777" w:rsidR="001F25EE" w:rsidRDefault="00787332">
      <w:pPr>
        <w:pStyle w:val="JASTEH1"/>
      </w:pPr>
      <w:r>
        <w:t>3. REVIEW METHOD</w:t>
      </w:r>
    </w:p>
    <w:p w14:paraId="1E0CF963" w14:textId="77777777" w:rsidR="001F25EE" w:rsidRDefault="00787332">
      <w:pPr>
        <w:spacing w:after="80"/>
        <w:jc w:val="both"/>
      </w:pPr>
      <w:r>
        <w:t xml:space="preserve">The design synthesis drew on benchmark work from ASVspoof, surveys of audio deepfake detection, spectral and </w:t>
      </w:r>
      <w:r>
        <w:t>cepstral feature studies, and end-to-end anti-spoofing architectures. Methods were compared according to representation, generalization, computational cost, and integration with speaker verification. The reviewed technical literature includes surveys of au</w:t>
      </w:r>
      <w:r>
        <w:t>dio-deepfake detection, constant-Q cepstral coefficients, raw-waveform models, graph-attention architectures, speaker-aware fusion, and augmentation strategies for channel robustness (Almutairi &amp; Elgibreen, 2022; Ge et al., 2021; Jung et al., 2022; Todisco</w:t>
      </w:r>
      <w:r>
        <w:t xml:space="preserve"> et al., 2016; Tomilov et al., 2021).</w:t>
      </w:r>
    </w:p>
    <w:p w14:paraId="72C81ECF" w14:textId="77777777" w:rsidR="001F25EE" w:rsidRDefault="00787332">
      <w:pPr>
        <w:spacing w:after="80"/>
        <w:jc w:val="both"/>
      </w:pPr>
      <w:r>
        <w:rPr>
          <w:color w:val="111111"/>
        </w:rPr>
        <w:t>The resulting framework is conceptual and should be validated experimentally before deployment. No performance claims are made for an unimplemented system.</w:t>
      </w:r>
    </w:p>
    <w:p w14:paraId="0252CEDC" w14:textId="77777777" w:rsidR="001F25EE" w:rsidRDefault="00787332">
      <w:pPr>
        <w:spacing w:after="80"/>
        <w:jc w:val="both"/>
      </w:pPr>
      <w:r>
        <w:rPr>
          <w:color w:val="111111"/>
        </w:rPr>
        <w:t>The analytical procedure used five stages: problem-boundary de</w:t>
      </w:r>
      <w:r>
        <w:rPr>
          <w:color w:val="111111"/>
        </w:rPr>
        <w:t>finition, extraction of technical requirements, mapping of system components, specification of evaluation criteria, and synthesis of implementation safeguards. Evidence was used to justify design choices and expose limitations; it was not pooled statistica</w:t>
      </w:r>
      <w:r>
        <w:rPr>
          <w:color w:val="111111"/>
        </w:rPr>
        <w:t>lly because the included sources differ in tasks, data, devices, and outcome definitions.</w:t>
      </w:r>
    </w:p>
    <w:p w14:paraId="3DD67183" w14:textId="77777777" w:rsidR="001F25EE" w:rsidRDefault="00787332">
      <w:pPr>
        <w:spacing w:after="80"/>
        <w:jc w:val="both"/>
      </w:pPr>
      <w:r>
        <w:rPr>
          <w:color w:val="111111"/>
        </w:rPr>
        <w:t>Quality appraisal prioritised clarity of the technical procedure, relevance to the proposed component, transparency of evaluation, and transferability to the intended</w:t>
      </w:r>
      <w:r>
        <w:rPr>
          <w:color w:val="111111"/>
        </w:rPr>
        <w:t xml:space="preserve"> context. Sources were treated as stronger when they documented data provenance, comparison conditions, limitations, and reproducible parameters. The review retains contradictory or cautionary evidence because implementation decisions require knowledge of </w:t>
      </w:r>
      <w:r>
        <w:rPr>
          <w:color w:val="111111"/>
        </w:rPr>
        <w:t>failure conditions.</w:t>
      </w:r>
    </w:p>
    <w:p w14:paraId="66CD9325" w14:textId="77777777" w:rsidR="001F25EE" w:rsidRDefault="00787332">
      <w:pPr>
        <w:pStyle w:val="JASTEH2"/>
      </w:pPr>
      <w:r>
        <w:t>3.1 Review Questions</w:t>
      </w:r>
    </w:p>
    <w:p w14:paraId="7792DA24" w14:textId="77777777" w:rsidR="001F25EE" w:rsidRDefault="00787332">
      <w:pPr>
        <w:spacing w:after="80"/>
        <w:jc w:val="both"/>
      </w:pPr>
      <w:r>
        <w:rPr>
          <w:color w:val="111111"/>
        </w:rPr>
        <w:t xml:space="preserve">The review asked four questions: What information must the system acquire? How should processing and decision components exchange evidence? Which technical and human-centred measures are required for </w:t>
      </w:r>
      <w:r>
        <w:rPr>
          <w:color w:val="111111"/>
        </w:rPr>
        <w:t>validation? What controls are necessary for responsible deployment and maintenance? These questions provide traceability from the literature to the proposed framework.</w:t>
      </w:r>
    </w:p>
    <w:p w14:paraId="57C77FE7" w14:textId="77777777" w:rsidR="001F25EE" w:rsidRDefault="00787332">
      <w:pPr>
        <w:spacing w:before="100" w:after="60"/>
        <w:jc w:val="center"/>
      </w:pPr>
      <w:r>
        <w:rPr>
          <w:b/>
          <w:color w:val="111111"/>
          <w:sz w:val="18"/>
        </w:rPr>
        <w:t>Table 2. Evidence-Extraction Framework</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213"/>
        <w:gridCol w:w="3213"/>
        <w:gridCol w:w="3213"/>
      </w:tblGrid>
      <w:tr w:rsidR="001F25EE" w14:paraId="546A9DA1" w14:textId="77777777">
        <w:trPr>
          <w:jc w:val="center"/>
        </w:trPr>
        <w:tc>
          <w:tcPr>
            <w:tcW w:w="3213" w:type="dxa"/>
            <w:shd w:val="clear" w:color="auto" w:fill="2F66B3"/>
          </w:tcPr>
          <w:p w14:paraId="1B829F41" w14:textId="77777777" w:rsidR="001F25EE" w:rsidRDefault="00787332">
            <w:pPr>
              <w:jc w:val="center"/>
            </w:pPr>
            <w:r>
              <w:rPr>
                <w:b/>
                <w:color w:val="FFFFFF"/>
                <w:sz w:val="15"/>
              </w:rPr>
              <w:t>Review question</w:t>
            </w:r>
          </w:p>
        </w:tc>
        <w:tc>
          <w:tcPr>
            <w:tcW w:w="3213" w:type="dxa"/>
            <w:shd w:val="clear" w:color="auto" w:fill="2F66B3"/>
          </w:tcPr>
          <w:p w14:paraId="7D244E63" w14:textId="77777777" w:rsidR="001F25EE" w:rsidRDefault="00787332">
            <w:pPr>
              <w:jc w:val="center"/>
            </w:pPr>
            <w:r>
              <w:rPr>
                <w:b/>
                <w:color w:val="FFFFFF"/>
                <w:sz w:val="15"/>
              </w:rPr>
              <w:t>Extracted evidence</w:t>
            </w:r>
          </w:p>
        </w:tc>
        <w:tc>
          <w:tcPr>
            <w:tcW w:w="3213" w:type="dxa"/>
            <w:shd w:val="clear" w:color="auto" w:fill="2F66B3"/>
          </w:tcPr>
          <w:p w14:paraId="74E01AA2" w14:textId="77777777" w:rsidR="001F25EE" w:rsidRDefault="00787332">
            <w:pPr>
              <w:jc w:val="center"/>
            </w:pPr>
            <w:r>
              <w:rPr>
                <w:b/>
                <w:color w:val="FFFFFF"/>
                <w:sz w:val="15"/>
              </w:rPr>
              <w:t>Design output</w:t>
            </w:r>
          </w:p>
        </w:tc>
      </w:tr>
      <w:tr w:rsidR="001F25EE" w14:paraId="7E026C46" w14:textId="77777777">
        <w:trPr>
          <w:jc w:val="center"/>
        </w:trPr>
        <w:tc>
          <w:tcPr>
            <w:tcW w:w="3213" w:type="dxa"/>
            <w:vAlign w:val="center"/>
          </w:tcPr>
          <w:p w14:paraId="192E0F2B" w14:textId="77777777" w:rsidR="001F25EE" w:rsidRDefault="00787332">
            <w:pPr>
              <w:spacing w:after="0"/>
            </w:pPr>
            <w:r>
              <w:rPr>
                <w:color w:val="111111"/>
                <w:sz w:val="15"/>
              </w:rPr>
              <w:t>Inputs</w:t>
            </w:r>
          </w:p>
        </w:tc>
        <w:tc>
          <w:tcPr>
            <w:tcW w:w="3213" w:type="dxa"/>
            <w:vAlign w:val="center"/>
          </w:tcPr>
          <w:p w14:paraId="1708AAC2" w14:textId="77777777" w:rsidR="001F25EE" w:rsidRDefault="00787332">
            <w:pPr>
              <w:spacing w:after="0"/>
            </w:pPr>
            <w:r>
              <w:rPr>
                <w:color w:val="111111"/>
                <w:sz w:val="15"/>
              </w:rPr>
              <w:t>Source, format, quality, context</w:t>
            </w:r>
          </w:p>
        </w:tc>
        <w:tc>
          <w:tcPr>
            <w:tcW w:w="3213" w:type="dxa"/>
            <w:vAlign w:val="center"/>
          </w:tcPr>
          <w:p w14:paraId="428B888D" w14:textId="77777777" w:rsidR="001F25EE" w:rsidRDefault="00787332">
            <w:pPr>
              <w:spacing w:after="0"/>
            </w:pPr>
            <w:r>
              <w:rPr>
                <w:color w:val="111111"/>
                <w:sz w:val="15"/>
              </w:rPr>
              <w:t>Data specification</w:t>
            </w:r>
          </w:p>
        </w:tc>
      </w:tr>
      <w:tr w:rsidR="001F25EE" w14:paraId="7DB08309" w14:textId="77777777">
        <w:trPr>
          <w:jc w:val="center"/>
        </w:trPr>
        <w:tc>
          <w:tcPr>
            <w:tcW w:w="3213" w:type="dxa"/>
            <w:vAlign w:val="center"/>
          </w:tcPr>
          <w:p w14:paraId="3E00BE94" w14:textId="77777777" w:rsidR="001F25EE" w:rsidRDefault="00787332">
            <w:pPr>
              <w:spacing w:after="0"/>
            </w:pPr>
            <w:r>
              <w:rPr>
                <w:color w:val="111111"/>
                <w:sz w:val="15"/>
              </w:rPr>
              <w:t>Architecture</w:t>
            </w:r>
          </w:p>
        </w:tc>
        <w:tc>
          <w:tcPr>
            <w:tcW w:w="3213" w:type="dxa"/>
            <w:vAlign w:val="center"/>
          </w:tcPr>
          <w:p w14:paraId="3D9C0510" w14:textId="77777777" w:rsidR="001F25EE" w:rsidRDefault="00787332">
            <w:pPr>
              <w:spacing w:after="0"/>
            </w:pPr>
            <w:r>
              <w:rPr>
                <w:color w:val="111111"/>
                <w:sz w:val="15"/>
              </w:rPr>
              <w:t>Methods, interfaces, dependencies</w:t>
            </w:r>
          </w:p>
        </w:tc>
        <w:tc>
          <w:tcPr>
            <w:tcW w:w="3213" w:type="dxa"/>
            <w:vAlign w:val="center"/>
          </w:tcPr>
          <w:p w14:paraId="257B13BA" w14:textId="77777777" w:rsidR="001F25EE" w:rsidRDefault="00787332">
            <w:pPr>
              <w:spacing w:after="0"/>
            </w:pPr>
            <w:r>
              <w:rPr>
                <w:color w:val="111111"/>
                <w:sz w:val="15"/>
              </w:rPr>
              <w:t>Component model</w:t>
            </w:r>
          </w:p>
        </w:tc>
      </w:tr>
      <w:tr w:rsidR="001F25EE" w14:paraId="1DF76E6E" w14:textId="77777777">
        <w:trPr>
          <w:jc w:val="center"/>
        </w:trPr>
        <w:tc>
          <w:tcPr>
            <w:tcW w:w="3213" w:type="dxa"/>
            <w:vAlign w:val="center"/>
          </w:tcPr>
          <w:p w14:paraId="779FE082" w14:textId="77777777" w:rsidR="001F25EE" w:rsidRDefault="00787332">
            <w:pPr>
              <w:spacing w:after="0"/>
            </w:pPr>
            <w:r>
              <w:rPr>
                <w:color w:val="111111"/>
                <w:sz w:val="15"/>
              </w:rPr>
              <w:t>Evaluation</w:t>
            </w:r>
          </w:p>
        </w:tc>
        <w:tc>
          <w:tcPr>
            <w:tcW w:w="3213" w:type="dxa"/>
            <w:vAlign w:val="center"/>
          </w:tcPr>
          <w:p w14:paraId="4B74DF53" w14:textId="77777777" w:rsidR="001F25EE" w:rsidRDefault="00787332">
            <w:pPr>
              <w:spacing w:after="0"/>
            </w:pPr>
            <w:r>
              <w:rPr>
                <w:color w:val="111111"/>
                <w:sz w:val="15"/>
              </w:rPr>
              <w:t>Metrics, datasets, comparison</w:t>
            </w:r>
          </w:p>
        </w:tc>
        <w:tc>
          <w:tcPr>
            <w:tcW w:w="3213" w:type="dxa"/>
            <w:vAlign w:val="center"/>
          </w:tcPr>
          <w:p w14:paraId="5DA855FB" w14:textId="77777777" w:rsidR="001F25EE" w:rsidRDefault="00787332">
            <w:pPr>
              <w:spacing w:after="0"/>
            </w:pPr>
            <w:r>
              <w:rPr>
                <w:color w:val="111111"/>
                <w:sz w:val="15"/>
              </w:rPr>
              <w:t>Validation protocol</w:t>
            </w:r>
          </w:p>
        </w:tc>
      </w:tr>
      <w:tr w:rsidR="001F25EE" w14:paraId="6D4920EC" w14:textId="77777777">
        <w:trPr>
          <w:jc w:val="center"/>
        </w:trPr>
        <w:tc>
          <w:tcPr>
            <w:tcW w:w="3213" w:type="dxa"/>
            <w:vAlign w:val="center"/>
          </w:tcPr>
          <w:p w14:paraId="3854292F" w14:textId="77777777" w:rsidR="001F25EE" w:rsidRDefault="00787332">
            <w:pPr>
              <w:spacing w:after="0"/>
            </w:pPr>
            <w:r>
              <w:rPr>
                <w:color w:val="111111"/>
                <w:sz w:val="15"/>
              </w:rPr>
              <w:t>Deployment</w:t>
            </w:r>
          </w:p>
        </w:tc>
        <w:tc>
          <w:tcPr>
            <w:tcW w:w="3213" w:type="dxa"/>
            <w:vAlign w:val="center"/>
          </w:tcPr>
          <w:p w14:paraId="0FBCC4E5" w14:textId="77777777" w:rsidR="001F25EE" w:rsidRDefault="00787332">
            <w:pPr>
              <w:spacing w:after="0"/>
            </w:pPr>
            <w:r>
              <w:rPr>
                <w:color w:val="111111"/>
                <w:sz w:val="15"/>
              </w:rPr>
              <w:t>Risks, users, controls</w:t>
            </w:r>
          </w:p>
        </w:tc>
        <w:tc>
          <w:tcPr>
            <w:tcW w:w="3213" w:type="dxa"/>
            <w:vAlign w:val="center"/>
          </w:tcPr>
          <w:p w14:paraId="57DA5058" w14:textId="77777777" w:rsidR="001F25EE" w:rsidRDefault="00787332">
            <w:pPr>
              <w:spacing w:after="0"/>
            </w:pPr>
            <w:r>
              <w:rPr>
                <w:color w:val="111111"/>
                <w:sz w:val="15"/>
              </w:rPr>
              <w:t>Governance plan</w:t>
            </w:r>
          </w:p>
        </w:tc>
      </w:tr>
    </w:tbl>
    <w:p w14:paraId="2980FF96" w14:textId="77777777" w:rsidR="001F25EE" w:rsidRDefault="00787332">
      <w:pPr>
        <w:spacing w:after="80"/>
        <w:jc w:val="both"/>
      </w:pPr>
      <w:r>
        <w:rPr>
          <w:color w:val="111111"/>
        </w:rPr>
        <w:lastRenderedPageBreak/>
        <w:t xml:space="preserve">Synthesis </w:t>
      </w:r>
      <w:r>
        <w:rPr>
          <w:color w:val="111111"/>
        </w:rPr>
        <w:t>decisions were documented by linking each proposed component to the type of evidence that supports it. When sources disagreed, the framework adopted the more conservative interpretation and converted the disagreement into a validation requirement. This app</w:t>
      </w:r>
      <w:r>
        <w:rPr>
          <w:color w:val="111111"/>
        </w:rPr>
        <w:t>roach prevents selective citation of only favourable results and makes uncertainty visible to later developers and reviewers. The resulting framework is therefore best understood as a reasoned technical specification that remains open to revision after emp</w:t>
      </w:r>
      <w:r>
        <w:rPr>
          <w:color w:val="111111"/>
        </w:rPr>
        <w:t>irical testing.</w:t>
      </w:r>
    </w:p>
    <w:p w14:paraId="54D9EF17" w14:textId="77777777" w:rsidR="001F25EE" w:rsidRDefault="00787332">
      <w:pPr>
        <w:pStyle w:val="JASTEH1"/>
      </w:pPr>
      <w:r>
        <w:t>4. PROPOSED SYSTEM ARCHITECTURE</w:t>
      </w:r>
    </w:p>
    <w:p w14:paraId="47B617C7" w14:textId="77777777" w:rsidR="001F25EE" w:rsidRDefault="00787332">
      <w:pPr>
        <w:pStyle w:val="JASTEH2"/>
      </w:pPr>
      <w:r>
        <w:t>4.1 Input and Data Layer</w:t>
      </w:r>
    </w:p>
    <w:p w14:paraId="2FBAFFA4" w14:textId="77777777" w:rsidR="001F25EE" w:rsidRDefault="00787332">
      <w:pPr>
        <w:spacing w:after="80"/>
        <w:jc w:val="both"/>
      </w:pPr>
      <w:r>
        <w:t>System requirements begin with an operational definition of the target problem and a documented decision boundary. The data model should represent quality-controlled speech, device an</w:t>
      </w:r>
      <w:r>
        <w:t>d codec context, spectral and learned representations, speaker-verification evidence, liveness cues, interaction history, and accessibility preferences. Required and optional fields must be distinguished, validation rules must be machine-readable, and ever</w:t>
      </w:r>
      <w:r>
        <w:t>y transformation should retain a link to its source. Records that fail minimum quality criteria should be quarantined rather than silently imputed into a decision. The data layer must preserve device and codec context because compression, transmission, and</w:t>
      </w:r>
      <w:r>
        <w:t xml:space="preserve"> recording channels can substantially alter spoof-detection performance (X. Chen et al., 2021; Tomilov et al., 2021).</w:t>
      </w:r>
    </w:p>
    <w:p w14:paraId="33EE01F5" w14:textId="77777777" w:rsidR="001F25EE" w:rsidRDefault="00787332">
      <w:pPr>
        <w:pStyle w:val="JASTEH2"/>
      </w:pPr>
      <w:r>
        <w:t>4.2 Processing and Analytical Layer</w:t>
      </w:r>
    </w:p>
    <w:p w14:paraId="4CCDE381" w14:textId="77777777" w:rsidR="001F25EE" w:rsidRDefault="00787332">
      <w:pPr>
        <w:spacing w:after="80"/>
        <w:jc w:val="both"/>
      </w:pPr>
      <w:r>
        <w:t xml:space="preserve">Processing should be organised as a sequence of observable services covering capture quality control, </w:t>
      </w:r>
      <w:r>
        <w:t>complementary spectral features, spoof detection, speaker verification, calibrated fusion, uncertainty handling, fallback authentication, and secure enrolment. Each service should record its software version, configuration, input checksum, output status, p</w:t>
      </w:r>
      <w:r>
        <w:t xml:space="preserve">rocessing time, and warnings. Reproducibility depends on these records because the same nominal method may behave differently after library, device, model, or platform updates. Complementary front ends are justified because spoofing artefacts can occur in </w:t>
      </w:r>
      <w:r>
        <w:t>specific spectral sub-bands and temporal segments; CQCC, raw-waveform, and spectro-temporal graph models capture different evidence (Jung et al., 2022; Tak et al., 2021b; Todisco et al., 2016). The speaker-verification branch may use a documented embedding</w:t>
      </w:r>
      <w:r>
        <w:t xml:space="preserve"> architecture such as ECAPA-TDNN (Desplanques et al., 2020).</w:t>
      </w:r>
    </w:p>
    <w:p w14:paraId="119D9AFE" w14:textId="77777777" w:rsidR="001F25EE" w:rsidRDefault="00787332">
      <w:pPr>
        <w:pStyle w:val="JASTEH2"/>
      </w:pPr>
      <w:r>
        <w:t>4.3 Decision and Oversight Layer</w:t>
      </w:r>
    </w:p>
    <w:p w14:paraId="664FAE8E" w14:textId="77777777" w:rsidR="001F25EE" w:rsidRDefault="00787332">
      <w:pPr>
        <w:spacing w:after="80"/>
        <w:jc w:val="both"/>
      </w:pPr>
      <w:r>
        <w:t xml:space="preserve">Decision logic should communicate both the recommended action and the strength of the supporting evidence. A calibrated score is preferable to an </w:t>
      </w:r>
      <w:r>
        <w:t>unexplained binary label when uncertainty is material. Thresholds should be selected for the operational cost of false acceptance and false rejection, then reviewed with domain experts. Borderline cases should be escalated rather than forced into confident</w:t>
      </w:r>
      <w:r>
        <w:t xml:space="preserve"> categories. Calibration and operating thresholds should be tied to application priors and error costs rather than selected solely from EER, which may not reflect deployment consequences (Brümmer &amp; du Preez, 2006; Kinnunen et al., 2018).</w:t>
      </w:r>
    </w:p>
    <w:p w14:paraId="19E864D7" w14:textId="77777777" w:rsidR="001F25EE" w:rsidRDefault="00787332">
      <w:pPr>
        <w:pStyle w:val="JASTEH2"/>
      </w:pPr>
      <w:r>
        <w:t xml:space="preserve">4.4 Interface and </w:t>
      </w:r>
      <w:r>
        <w:t>Explanation Layer</w:t>
      </w:r>
    </w:p>
    <w:p w14:paraId="03714B20" w14:textId="77777777" w:rsidR="001F25EE" w:rsidRDefault="00787332">
      <w:pPr>
        <w:spacing w:after="80"/>
        <w:jc w:val="both"/>
      </w:pPr>
      <w:r>
        <w:t>The interface should expose the evidence needed for review without overwhelming the user. Layered explanations can present a concise status first, followed by source quality, component outputs, limitations, and the audit history. Accessib</w:t>
      </w:r>
      <w:r>
        <w:t>ility, language, reading level, and device constraints are functional requirements, not decorative additions after the algorithm has been completed. For older adults, effectiveness, efficiency, and satisfaction should be evaluated in a specified context of</w:t>
      </w:r>
      <w:r>
        <w:t xml:space="preserve"> use in accordance with ISO 9241-11, while digital content and controls should follow WCAG 2.2 accessibility principles (International Organization for Standardization [ISO], 2018; World Wide Web Consortium [W3C], 2023).</w:t>
      </w:r>
    </w:p>
    <w:p w14:paraId="2C5BB4E3" w14:textId="77777777" w:rsidR="001F25EE" w:rsidRDefault="00787332">
      <w:pPr>
        <w:spacing w:before="100" w:after="60"/>
        <w:jc w:val="center"/>
      </w:pPr>
      <w:r>
        <w:rPr>
          <w:b/>
          <w:color w:val="111111"/>
          <w:sz w:val="18"/>
        </w:rPr>
        <w:t>Table 3. Core Architecture and Cont</w:t>
      </w:r>
      <w:r>
        <w:rPr>
          <w:b/>
          <w:color w:val="111111"/>
          <w:sz w:val="18"/>
        </w:rPr>
        <w:t>rol Points</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213"/>
        <w:gridCol w:w="3213"/>
        <w:gridCol w:w="3213"/>
      </w:tblGrid>
      <w:tr w:rsidR="001F25EE" w14:paraId="51AF7D8A" w14:textId="77777777">
        <w:trPr>
          <w:jc w:val="center"/>
        </w:trPr>
        <w:tc>
          <w:tcPr>
            <w:tcW w:w="3213" w:type="dxa"/>
            <w:shd w:val="clear" w:color="auto" w:fill="2F66B3"/>
          </w:tcPr>
          <w:p w14:paraId="55372D06" w14:textId="77777777" w:rsidR="001F25EE" w:rsidRDefault="00787332">
            <w:pPr>
              <w:jc w:val="center"/>
            </w:pPr>
            <w:r>
              <w:rPr>
                <w:b/>
                <w:color w:val="FFFFFF"/>
                <w:sz w:val="15"/>
              </w:rPr>
              <w:t>Layer</w:t>
            </w:r>
          </w:p>
        </w:tc>
        <w:tc>
          <w:tcPr>
            <w:tcW w:w="3213" w:type="dxa"/>
            <w:shd w:val="clear" w:color="auto" w:fill="2F66B3"/>
          </w:tcPr>
          <w:p w14:paraId="40C720BD" w14:textId="77777777" w:rsidR="001F25EE" w:rsidRDefault="00787332">
            <w:pPr>
              <w:jc w:val="center"/>
            </w:pPr>
            <w:r>
              <w:rPr>
                <w:b/>
                <w:color w:val="FFFFFF"/>
                <w:sz w:val="15"/>
              </w:rPr>
              <w:t>Principal function</w:t>
            </w:r>
          </w:p>
        </w:tc>
        <w:tc>
          <w:tcPr>
            <w:tcW w:w="3213" w:type="dxa"/>
            <w:shd w:val="clear" w:color="auto" w:fill="2F66B3"/>
          </w:tcPr>
          <w:p w14:paraId="323FB92B" w14:textId="77777777" w:rsidR="001F25EE" w:rsidRDefault="00787332">
            <w:pPr>
              <w:jc w:val="center"/>
            </w:pPr>
            <w:r>
              <w:rPr>
                <w:b/>
                <w:color w:val="FFFFFF"/>
                <w:sz w:val="15"/>
              </w:rPr>
              <w:t>Control point</w:t>
            </w:r>
          </w:p>
        </w:tc>
      </w:tr>
      <w:tr w:rsidR="001F25EE" w14:paraId="448AD9A5" w14:textId="77777777">
        <w:trPr>
          <w:jc w:val="center"/>
        </w:trPr>
        <w:tc>
          <w:tcPr>
            <w:tcW w:w="3213" w:type="dxa"/>
            <w:vAlign w:val="center"/>
          </w:tcPr>
          <w:p w14:paraId="546FE595" w14:textId="77777777" w:rsidR="001F25EE" w:rsidRDefault="00787332">
            <w:pPr>
              <w:spacing w:after="0"/>
            </w:pPr>
            <w:r>
              <w:rPr>
                <w:color w:val="111111"/>
                <w:sz w:val="15"/>
              </w:rPr>
              <w:t>Input</w:t>
            </w:r>
          </w:p>
        </w:tc>
        <w:tc>
          <w:tcPr>
            <w:tcW w:w="3213" w:type="dxa"/>
            <w:vAlign w:val="center"/>
          </w:tcPr>
          <w:p w14:paraId="63C765C9" w14:textId="77777777" w:rsidR="001F25EE" w:rsidRDefault="00787332">
            <w:pPr>
              <w:spacing w:after="0"/>
            </w:pPr>
            <w:r>
              <w:rPr>
                <w:color w:val="111111"/>
                <w:sz w:val="15"/>
              </w:rPr>
              <w:t>Acquire and validate source evidence</w:t>
            </w:r>
          </w:p>
        </w:tc>
        <w:tc>
          <w:tcPr>
            <w:tcW w:w="3213" w:type="dxa"/>
            <w:vAlign w:val="center"/>
          </w:tcPr>
          <w:p w14:paraId="7398B5FE" w14:textId="77777777" w:rsidR="001F25EE" w:rsidRDefault="00787332">
            <w:pPr>
              <w:spacing w:after="0"/>
            </w:pPr>
            <w:r>
              <w:rPr>
                <w:color w:val="111111"/>
                <w:sz w:val="15"/>
              </w:rPr>
              <w:t>Provenance, consent, completeness</w:t>
            </w:r>
          </w:p>
        </w:tc>
      </w:tr>
      <w:tr w:rsidR="001F25EE" w14:paraId="1EAD1C86" w14:textId="77777777">
        <w:trPr>
          <w:jc w:val="center"/>
        </w:trPr>
        <w:tc>
          <w:tcPr>
            <w:tcW w:w="3213" w:type="dxa"/>
            <w:vAlign w:val="center"/>
          </w:tcPr>
          <w:p w14:paraId="1DCC58E6" w14:textId="77777777" w:rsidR="001F25EE" w:rsidRDefault="00787332">
            <w:pPr>
              <w:spacing w:after="0"/>
            </w:pPr>
            <w:r>
              <w:rPr>
                <w:color w:val="111111"/>
                <w:sz w:val="15"/>
              </w:rPr>
              <w:t>Processing</w:t>
            </w:r>
          </w:p>
        </w:tc>
        <w:tc>
          <w:tcPr>
            <w:tcW w:w="3213" w:type="dxa"/>
            <w:vAlign w:val="center"/>
          </w:tcPr>
          <w:p w14:paraId="437B2DBF" w14:textId="77777777" w:rsidR="001F25EE" w:rsidRDefault="00787332">
            <w:pPr>
              <w:spacing w:after="0"/>
            </w:pPr>
            <w:r>
              <w:rPr>
                <w:color w:val="111111"/>
                <w:sz w:val="15"/>
              </w:rPr>
              <w:t>Transform and analyse evidence</w:t>
            </w:r>
          </w:p>
        </w:tc>
        <w:tc>
          <w:tcPr>
            <w:tcW w:w="3213" w:type="dxa"/>
            <w:vAlign w:val="center"/>
          </w:tcPr>
          <w:p w14:paraId="6796C915" w14:textId="77777777" w:rsidR="001F25EE" w:rsidRDefault="00787332">
            <w:pPr>
              <w:spacing w:after="0"/>
            </w:pPr>
            <w:r>
              <w:rPr>
                <w:color w:val="111111"/>
                <w:sz w:val="15"/>
              </w:rPr>
              <w:t>Version, configuration, warnings</w:t>
            </w:r>
          </w:p>
        </w:tc>
      </w:tr>
      <w:tr w:rsidR="001F25EE" w14:paraId="231509DC" w14:textId="77777777">
        <w:trPr>
          <w:jc w:val="center"/>
        </w:trPr>
        <w:tc>
          <w:tcPr>
            <w:tcW w:w="3213" w:type="dxa"/>
            <w:vAlign w:val="center"/>
          </w:tcPr>
          <w:p w14:paraId="722BF7C0" w14:textId="77777777" w:rsidR="001F25EE" w:rsidRDefault="00787332">
            <w:pPr>
              <w:spacing w:after="0"/>
            </w:pPr>
            <w:r>
              <w:rPr>
                <w:color w:val="111111"/>
                <w:sz w:val="15"/>
              </w:rPr>
              <w:t>Decision</w:t>
            </w:r>
          </w:p>
        </w:tc>
        <w:tc>
          <w:tcPr>
            <w:tcW w:w="3213" w:type="dxa"/>
            <w:vAlign w:val="center"/>
          </w:tcPr>
          <w:p w14:paraId="1BCC6DFF" w14:textId="77777777" w:rsidR="001F25EE" w:rsidRDefault="00787332">
            <w:pPr>
              <w:spacing w:after="0"/>
            </w:pPr>
            <w:r>
              <w:rPr>
                <w:color w:val="111111"/>
                <w:sz w:val="15"/>
              </w:rPr>
              <w:t xml:space="preserve">Combine evidence and </w:t>
            </w:r>
            <w:r>
              <w:rPr>
                <w:color w:val="111111"/>
                <w:sz w:val="15"/>
              </w:rPr>
              <w:t>uncertainty</w:t>
            </w:r>
          </w:p>
        </w:tc>
        <w:tc>
          <w:tcPr>
            <w:tcW w:w="3213" w:type="dxa"/>
            <w:vAlign w:val="center"/>
          </w:tcPr>
          <w:p w14:paraId="0CA4A32F" w14:textId="77777777" w:rsidR="001F25EE" w:rsidRDefault="00787332">
            <w:pPr>
              <w:spacing w:after="0"/>
            </w:pPr>
            <w:r>
              <w:rPr>
                <w:color w:val="111111"/>
                <w:sz w:val="15"/>
              </w:rPr>
              <w:t>Calibration and escalation</w:t>
            </w:r>
          </w:p>
        </w:tc>
      </w:tr>
      <w:tr w:rsidR="001F25EE" w14:paraId="67A07ECF" w14:textId="77777777">
        <w:trPr>
          <w:jc w:val="center"/>
        </w:trPr>
        <w:tc>
          <w:tcPr>
            <w:tcW w:w="3213" w:type="dxa"/>
            <w:vAlign w:val="center"/>
          </w:tcPr>
          <w:p w14:paraId="7927F0D8" w14:textId="77777777" w:rsidR="001F25EE" w:rsidRDefault="00787332">
            <w:pPr>
              <w:spacing w:after="0"/>
            </w:pPr>
            <w:r>
              <w:rPr>
                <w:color w:val="111111"/>
                <w:sz w:val="15"/>
              </w:rPr>
              <w:t>Interface</w:t>
            </w:r>
          </w:p>
        </w:tc>
        <w:tc>
          <w:tcPr>
            <w:tcW w:w="3213" w:type="dxa"/>
            <w:vAlign w:val="center"/>
          </w:tcPr>
          <w:p w14:paraId="0C4F89F4" w14:textId="77777777" w:rsidR="001F25EE" w:rsidRDefault="00787332">
            <w:pPr>
              <w:spacing w:after="0"/>
            </w:pPr>
            <w:r>
              <w:rPr>
                <w:color w:val="111111"/>
                <w:sz w:val="15"/>
              </w:rPr>
              <w:t>Communicate action and limitations</w:t>
            </w:r>
          </w:p>
        </w:tc>
        <w:tc>
          <w:tcPr>
            <w:tcW w:w="3213" w:type="dxa"/>
            <w:vAlign w:val="center"/>
          </w:tcPr>
          <w:p w14:paraId="626C164D" w14:textId="77777777" w:rsidR="001F25EE" w:rsidRDefault="00787332">
            <w:pPr>
              <w:spacing w:after="0"/>
            </w:pPr>
            <w:r>
              <w:rPr>
                <w:color w:val="111111"/>
                <w:sz w:val="15"/>
              </w:rPr>
              <w:t>Accessibility and audit history</w:t>
            </w:r>
          </w:p>
        </w:tc>
      </w:tr>
    </w:tbl>
    <w:p w14:paraId="132DA830" w14:textId="77777777" w:rsidR="001F25EE" w:rsidRDefault="00787332">
      <w:pPr>
        <w:spacing w:after="80"/>
        <w:jc w:val="both"/>
      </w:pPr>
      <w:r>
        <w:rPr>
          <w:color w:val="111111"/>
        </w:rPr>
        <w:t>Interfaces between layers should use documented schemas and error states. A downstream component must be able to distinguish a valid low v</w:t>
      </w:r>
      <w:r>
        <w:rPr>
          <w:color w:val="111111"/>
        </w:rPr>
        <w:t>alue from a missing, rejected, or technically failed input. Time synchronisation, unit definitions, identifier handling, and version compatibility require explicit tests. These controls appear mundane compared with analytical algorithms, but many operation</w:t>
      </w:r>
      <w:r>
        <w:rPr>
          <w:color w:val="111111"/>
        </w:rPr>
        <w:t>al failures arise from mismatched assumptions at component boundaries rather than from the core method itself.</w:t>
      </w:r>
    </w:p>
    <w:p w14:paraId="5999FCDF" w14:textId="77777777" w:rsidR="001F25EE" w:rsidRDefault="00787332">
      <w:pPr>
        <w:pStyle w:val="JASTEH1"/>
      </w:pPr>
      <w:r>
        <w:t>5. VALIDATION AND PERFORMANCE EVALUATION</w:t>
      </w:r>
    </w:p>
    <w:p w14:paraId="0386E323" w14:textId="77777777" w:rsidR="001F25EE" w:rsidRDefault="00787332">
      <w:pPr>
        <w:spacing w:after="80"/>
        <w:jc w:val="both"/>
      </w:pPr>
      <w:r>
        <w:t>Evaluation must measure more than headline accuracy. The minimum set includes equal error rate, tandem d</w:t>
      </w:r>
      <w:r>
        <w:t xml:space="preserve">etection cost, spoof false-acceptance rate, speaker false-rejection rate, calibration, latency, processor load, battery impact, and accessibility failure rate. Metrics should be reported with denominators, confidence intervals where appropriate, threshold </w:t>
      </w:r>
      <w:r>
        <w:t xml:space="preserve">settings, and subgroup results. A system that performs well on an average score may still be unsafe if errors </w:t>
      </w:r>
      <w:r>
        <w:lastRenderedPageBreak/>
        <w:t>concentrate in a device type, language group, environmental condition, or high-risk use case. EER should be complemented by t-DCF because a counte</w:t>
      </w:r>
      <w:r>
        <w:t>rmeasure that performs well in isolation may interact differently with the speaker-verification subsystem (Kinnunen et al., 2018).</w:t>
      </w:r>
    </w:p>
    <w:p w14:paraId="68C46D4F" w14:textId="77777777" w:rsidR="001F25EE" w:rsidRDefault="00787332">
      <w:pPr>
        <w:spacing w:after="80"/>
        <w:jc w:val="both"/>
      </w:pPr>
      <w:r>
        <w:t>Development, tuning, and final evaluation data must be separated at the level where leakage can occur. Near duplicates, repea</w:t>
      </w:r>
      <w:r>
        <w:t>ted users, related devices, or temporally adjacent records can inflate performance if they appear on both sides of a split. A credible protocol documents exclusions, deduplication, missingness, class distribution, and the rationale for every sampling decis</w:t>
      </w:r>
      <w:r>
        <w:t>ion. Speaker-disjoint and attack-disjoint partitions are especially important because repeated speakers, generators, and post-processing pipelines can create optimistic estimates of generalization (Kawa et al., 2022; Müller et al., 2022).</w:t>
      </w:r>
    </w:p>
    <w:p w14:paraId="52A2675C" w14:textId="77777777" w:rsidR="001F25EE" w:rsidRDefault="00787332">
      <w:pPr>
        <w:spacing w:after="80"/>
        <w:jc w:val="both"/>
      </w:pPr>
      <w:r>
        <w:t xml:space="preserve">Robustness testing should vary conditions expected after deployment rather than reproducing only a clean laboratory setting. Stress tests may include reduced quality, missing fields, changed interfaces, novel attack patterns, network interruption, low-end </w:t>
      </w:r>
      <w:r>
        <w:t>devices, and ambiguous cases. Results should identify failure modes and recovery behaviour, including whether the system abstains safely when evidence is insufficient. Cross-corpus testing is required because systems that perform strongly on ASVspoof can d</w:t>
      </w:r>
      <w:r>
        <w:t>egrade substantially on in-the-wild deepfakes or unseen attacks (Müller et al., 2022). Codec, room-response, and transmission augmentation can improve robustness but does not eliminate the need for independent evaluation (Das, 2021; Tomilov et al., 2021).</w:t>
      </w:r>
    </w:p>
    <w:p w14:paraId="3B641155" w14:textId="77777777" w:rsidR="001F25EE" w:rsidRDefault="00787332">
      <w:pPr>
        <w:spacing w:after="80"/>
        <w:jc w:val="both"/>
      </w:pPr>
      <w:r>
        <w:rPr>
          <w:color w:val="111111"/>
        </w:rPr>
        <w:t>Human factors require their own validation. Reviewers should complete representative tasks while researchers measure completion, interpretation errors, confidence, workload, and disagreement. Qualitative debriefing can reveal misleading explanations and wo</w:t>
      </w:r>
      <w:r>
        <w:rPr>
          <w:color w:val="111111"/>
        </w:rPr>
        <w:t>rkflow friction that quantitative system metrics do not capture. Human oversight is effective only when reviewers have enough time, competence, and authority to challenge the output.</w:t>
      </w:r>
    </w:p>
    <w:p w14:paraId="08F9CCB7" w14:textId="77777777" w:rsidR="001F25EE" w:rsidRDefault="00787332">
      <w:pPr>
        <w:spacing w:before="100" w:after="60"/>
        <w:jc w:val="center"/>
      </w:pPr>
      <w:r>
        <w:rPr>
          <w:b/>
          <w:color w:val="111111"/>
          <w:sz w:val="18"/>
        </w:rPr>
        <w:t>Table 4. Minimum Validation Matrix</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213"/>
        <w:gridCol w:w="3213"/>
        <w:gridCol w:w="3213"/>
      </w:tblGrid>
      <w:tr w:rsidR="001F25EE" w14:paraId="2063F412" w14:textId="77777777">
        <w:trPr>
          <w:jc w:val="center"/>
        </w:trPr>
        <w:tc>
          <w:tcPr>
            <w:tcW w:w="3213" w:type="dxa"/>
            <w:shd w:val="clear" w:color="auto" w:fill="2F66B3"/>
          </w:tcPr>
          <w:p w14:paraId="722F2BFE" w14:textId="77777777" w:rsidR="001F25EE" w:rsidRDefault="00787332">
            <w:pPr>
              <w:jc w:val="center"/>
            </w:pPr>
            <w:r>
              <w:rPr>
                <w:b/>
                <w:color w:val="FFFFFF"/>
                <w:sz w:val="15"/>
              </w:rPr>
              <w:t>Evaluation domain</w:t>
            </w:r>
          </w:p>
        </w:tc>
        <w:tc>
          <w:tcPr>
            <w:tcW w:w="3213" w:type="dxa"/>
            <w:shd w:val="clear" w:color="auto" w:fill="2F66B3"/>
          </w:tcPr>
          <w:p w14:paraId="16B7B33A" w14:textId="77777777" w:rsidR="001F25EE" w:rsidRDefault="00787332">
            <w:pPr>
              <w:jc w:val="center"/>
            </w:pPr>
            <w:r>
              <w:rPr>
                <w:b/>
                <w:color w:val="FFFFFF"/>
                <w:sz w:val="15"/>
              </w:rPr>
              <w:t xml:space="preserve">Example </w:t>
            </w:r>
            <w:r>
              <w:rPr>
                <w:b/>
                <w:color w:val="FFFFFF"/>
                <w:sz w:val="15"/>
              </w:rPr>
              <w:t>measure</w:t>
            </w:r>
          </w:p>
        </w:tc>
        <w:tc>
          <w:tcPr>
            <w:tcW w:w="3213" w:type="dxa"/>
            <w:shd w:val="clear" w:color="auto" w:fill="2F66B3"/>
          </w:tcPr>
          <w:p w14:paraId="2063669A" w14:textId="77777777" w:rsidR="001F25EE" w:rsidRDefault="00787332">
            <w:pPr>
              <w:jc w:val="center"/>
            </w:pPr>
            <w:r>
              <w:rPr>
                <w:b/>
                <w:color w:val="FFFFFF"/>
                <w:sz w:val="15"/>
              </w:rPr>
              <w:t>Decision use</w:t>
            </w:r>
          </w:p>
        </w:tc>
      </w:tr>
      <w:tr w:rsidR="001F25EE" w14:paraId="572C15DD" w14:textId="77777777">
        <w:trPr>
          <w:jc w:val="center"/>
        </w:trPr>
        <w:tc>
          <w:tcPr>
            <w:tcW w:w="3213" w:type="dxa"/>
            <w:vAlign w:val="center"/>
          </w:tcPr>
          <w:p w14:paraId="35970D03" w14:textId="77777777" w:rsidR="001F25EE" w:rsidRDefault="00787332">
            <w:pPr>
              <w:spacing w:after="0"/>
            </w:pPr>
            <w:r>
              <w:rPr>
                <w:color w:val="111111"/>
                <w:sz w:val="15"/>
              </w:rPr>
              <w:t>Technical validity</w:t>
            </w:r>
          </w:p>
        </w:tc>
        <w:tc>
          <w:tcPr>
            <w:tcW w:w="3213" w:type="dxa"/>
            <w:vAlign w:val="center"/>
          </w:tcPr>
          <w:p w14:paraId="7EDB07F3" w14:textId="77777777" w:rsidR="001F25EE" w:rsidRDefault="00787332">
            <w:pPr>
              <w:spacing w:after="0"/>
            </w:pPr>
            <w:r>
              <w:rPr>
                <w:color w:val="111111"/>
                <w:sz w:val="15"/>
              </w:rPr>
              <w:t>equal error rate, tandem detection cost, spoof false-acceptance rate, speaker false-rejection rate, calibration, latency, processor load, battery impact</w:t>
            </w:r>
          </w:p>
        </w:tc>
        <w:tc>
          <w:tcPr>
            <w:tcW w:w="3213" w:type="dxa"/>
            <w:vAlign w:val="center"/>
          </w:tcPr>
          <w:p w14:paraId="33CCE9A4" w14:textId="77777777" w:rsidR="001F25EE" w:rsidRDefault="00787332">
            <w:pPr>
              <w:spacing w:after="0"/>
            </w:pPr>
            <w:r>
              <w:rPr>
                <w:color w:val="111111"/>
                <w:sz w:val="15"/>
              </w:rPr>
              <w:t>Compare configurations</w:t>
            </w:r>
          </w:p>
        </w:tc>
      </w:tr>
      <w:tr w:rsidR="001F25EE" w14:paraId="427F182D" w14:textId="77777777">
        <w:trPr>
          <w:jc w:val="center"/>
        </w:trPr>
        <w:tc>
          <w:tcPr>
            <w:tcW w:w="3213" w:type="dxa"/>
            <w:vAlign w:val="center"/>
          </w:tcPr>
          <w:p w14:paraId="514F9E98" w14:textId="77777777" w:rsidR="001F25EE" w:rsidRDefault="00787332">
            <w:pPr>
              <w:spacing w:after="0"/>
            </w:pPr>
            <w:r>
              <w:rPr>
                <w:color w:val="111111"/>
                <w:sz w:val="15"/>
              </w:rPr>
              <w:t>Robustness</w:t>
            </w:r>
          </w:p>
        </w:tc>
        <w:tc>
          <w:tcPr>
            <w:tcW w:w="3213" w:type="dxa"/>
            <w:vAlign w:val="center"/>
          </w:tcPr>
          <w:p w14:paraId="768408DA" w14:textId="77777777" w:rsidR="001F25EE" w:rsidRDefault="00787332">
            <w:pPr>
              <w:spacing w:after="0"/>
            </w:pPr>
            <w:r>
              <w:rPr>
                <w:color w:val="111111"/>
                <w:sz w:val="15"/>
              </w:rPr>
              <w:t xml:space="preserve">Performance under </w:t>
            </w:r>
            <w:r>
              <w:rPr>
                <w:color w:val="111111"/>
                <w:sz w:val="15"/>
              </w:rPr>
              <w:t>degraded or novel conditions</w:t>
            </w:r>
          </w:p>
        </w:tc>
        <w:tc>
          <w:tcPr>
            <w:tcW w:w="3213" w:type="dxa"/>
            <w:vAlign w:val="center"/>
          </w:tcPr>
          <w:p w14:paraId="42549904" w14:textId="77777777" w:rsidR="001F25EE" w:rsidRDefault="00787332">
            <w:pPr>
              <w:spacing w:after="0"/>
            </w:pPr>
            <w:r>
              <w:rPr>
                <w:color w:val="111111"/>
                <w:sz w:val="15"/>
              </w:rPr>
              <w:t>Define safe operating boundary</w:t>
            </w:r>
          </w:p>
        </w:tc>
      </w:tr>
      <w:tr w:rsidR="001F25EE" w14:paraId="3A729B28" w14:textId="77777777">
        <w:trPr>
          <w:jc w:val="center"/>
        </w:trPr>
        <w:tc>
          <w:tcPr>
            <w:tcW w:w="3213" w:type="dxa"/>
            <w:vAlign w:val="center"/>
          </w:tcPr>
          <w:p w14:paraId="20CF5B81" w14:textId="77777777" w:rsidR="001F25EE" w:rsidRDefault="00787332">
            <w:pPr>
              <w:spacing w:after="0"/>
            </w:pPr>
            <w:r>
              <w:rPr>
                <w:color w:val="111111"/>
                <w:sz w:val="15"/>
              </w:rPr>
              <w:t>Human factors</w:t>
            </w:r>
          </w:p>
        </w:tc>
        <w:tc>
          <w:tcPr>
            <w:tcW w:w="3213" w:type="dxa"/>
            <w:vAlign w:val="center"/>
          </w:tcPr>
          <w:p w14:paraId="4DF61F95" w14:textId="77777777" w:rsidR="001F25EE" w:rsidRDefault="00787332">
            <w:pPr>
              <w:spacing w:after="0"/>
            </w:pPr>
            <w:r>
              <w:rPr>
                <w:color w:val="111111"/>
                <w:sz w:val="15"/>
              </w:rPr>
              <w:t>Task success, interpretation error, workload</w:t>
            </w:r>
          </w:p>
        </w:tc>
        <w:tc>
          <w:tcPr>
            <w:tcW w:w="3213" w:type="dxa"/>
            <w:vAlign w:val="center"/>
          </w:tcPr>
          <w:p w14:paraId="7626680C" w14:textId="77777777" w:rsidR="001F25EE" w:rsidRDefault="00787332">
            <w:pPr>
              <w:spacing w:after="0"/>
            </w:pPr>
            <w:r>
              <w:rPr>
                <w:color w:val="111111"/>
                <w:sz w:val="15"/>
              </w:rPr>
              <w:t>Improve interface and training</w:t>
            </w:r>
          </w:p>
        </w:tc>
      </w:tr>
      <w:tr w:rsidR="001F25EE" w14:paraId="163BE0F0" w14:textId="77777777">
        <w:trPr>
          <w:jc w:val="center"/>
        </w:trPr>
        <w:tc>
          <w:tcPr>
            <w:tcW w:w="3213" w:type="dxa"/>
            <w:vAlign w:val="center"/>
          </w:tcPr>
          <w:p w14:paraId="59B71EAD" w14:textId="77777777" w:rsidR="001F25EE" w:rsidRDefault="00787332">
            <w:pPr>
              <w:spacing w:after="0"/>
            </w:pPr>
            <w:r>
              <w:rPr>
                <w:color w:val="111111"/>
                <w:sz w:val="15"/>
              </w:rPr>
              <w:t>Operations</w:t>
            </w:r>
          </w:p>
        </w:tc>
        <w:tc>
          <w:tcPr>
            <w:tcW w:w="3213" w:type="dxa"/>
            <w:vAlign w:val="center"/>
          </w:tcPr>
          <w:p w14:paraId="6120C82F" w14:textId="77777777" w:rsidR="001F25EE" w:rsidRDefault="00787332">
            <w:pPr>
              <w:spacing w:after="0"/>
            </w:pPr>
            <w:r>
              <w:rPr>
                <w:color w:val="111111"/>
                <w:sz w:val="15"/>
              </w:rPr>
              <w:t>Latency, availability, incidents, overrides</w:t>
            </w:r>
          </w:p>
        </w:tc>
        <w:tc>
          <w:tcPr>
            <w:tcW w:w="3213" w:type="dxa"/>
            <w:vAlign w:val="center"/>
          </w:tcPr>
          <w:p w14:paraId="41AC9E26" w14:textId="77777777" w:rsidR="001F25EE" w:rsidRDefault="00787332">
            <w:pPr>
              <w:spacing w:after="0"/>
            </w:pPr>
            <w:r>
              <w:rPr>
                <w:color w:val="111111"/>
                <w:sz w:val="15"/>
              </w:rPr>
              <w:t>Monitor deployment health</w:t>
            </w:r>
          </w:p>
        </w:tc>
      </w:tr>
    </w:tbl>
    <w:p w14:paraId="12311575" w14:textId="77777777" w:rsidR="001F25EE" w:rsidRDefault="00787332">
      <w:pPr>
        <w:spacing w:after="80"/>
        <w:jc w:val="both"/>
      </w:pPr>
      <w:r>
        <w:rPr>
          <w:color w:val="111111"/>
        </w:rPr>
        <w:t>A validation report sh</w:t>
      </w:r>
      <w:r>
        <w:rPr>
          <w:color w:val="111111"/>
        </w:rPr>
        <w:t>ould publish the complete test configuration, including hardware, software, model or rule versions, threshold values, sample exclusions, and unsuccessful trials. Aggregate metrics should be accompanied by confusion patterns or error categories that show wh</w:t>
      </w:r>
      <w:r>
        <w:rPr>
          <w:color w:val="111111"/>
        </w:rPr>
        <w:t>at the system gets wrong. Acceptance criteria must be set before examining final test results wherever feasible, thereby reducing the temptation to redefine success around the observed output.</w:t>
      </w:r>
    </w:p>
    <w:p w14:paraId="0010DAD0" w14:textId="77777777" w:rsidR="001F25EE" w:rsidRDefault="00787332">
      <w:pPr>
        <w:pStyle w:val="JASTEH1"/>
      </w:pPr>
      <w:r>
        <w:t>6. RISK, ETHICS, PRIVACY, AND GOVERNANCE</w:t>
      </w:r>
    </w:p>
    <w:p w14:paraId="21A6FE9C" w14:textId="77777777" w:rsidR="001F25EE" w:rsidRDefault="00787332">
      <w:pPr>
        <w:spacing w:after="80"/>
        <w:jc w:val="both"/>
      </w:pPr>
      <w:r>
        <w:t>The principal risks in</w:t>
      </w:r>
      <w:r>
        <w:t>clude unseen synthesis methods, replay attacks, channel mismatch, ageing voice, illness, noisy rooms, demographic performance gaps, and exclusion through repeated rejection. These risks should be entered in a living register with a cause, affected componen</w:t>
      </w:r>
      <w:r>
        <w:t>t, likely consequence, existing control, residual severity, monitoring signal, and accountable owner. Risk review should occur before each major release and whenever evidence shows a new failure pattern. Benchmark evidence shows that replay, logical-access</w:t>
      </w:r>
      <w:r>
        <w:t>, compression, and previously unseen attacks can produce sharply different error profiles (X. Chen et al., 2021; Todisco et al., 2019).</w:t>
      </w:r>
    </w:p>
    <w:p w14:paraId="1E825E1F" w14:textId="77777777" w:rsidR="001F25EE" w:rsidRDefault="00787332">
      <w:pPr>
        <w:spacing w:after="80"/>
        <w:jc w:val="both"/>
      </w:pPr>
      <w:r>
        <w:t xml:space="preserve">Privacy protection starts with data minimisation and purpose limitation. Collection should be restricted to information </w:t>
      </w:r>
      <w:r>
        <w:t>required for the declared function, retention periods should be explicit, and access should follow least-privilege principles. Identifiers should be separated from analytical data where feasible, transfers should be encrypted, and deletion or withdrawal pr</w:t>
      </w:r>
      <w:r>
        <w:t>ocedures should be testable rather than merely described in policy text. These controls are consistent with the NIST Privacy Framework's principles for identifying and managing privacy risk across the data lifecycle (National Institute of Standards and Tec</w:t>
      </w:r>
      <w:r>
        <w:t>hnology [NIST], 2020).</w:t>
      </w:r>
    </w:p>
    <w:p w14:paraId="0A619C43" w14:textId="77777777" w:rsidR="001F25EE" w:rsidRDefault="00787332">
      <w:pPr>
        <w:spacing w:after="80"/>
        <w:jc w:val="both"/>
      </w:pPr>
      <w:r>
        <w:rPr>
          <w:color w:val="111111"/>
        </w:rPr>
        <w:t>Governance must define who can change thresholds, models, feature sets, interface wording, and escalation rules. Material changes require documented testing and approval. Audit logs should be protected from routine editing and should</w:t>
      </w:r>
      <w:r>
        <w:rPr>
          <w:color w:val="111111"/>
        </w:rPr>
        <w:t xml:space="preserve"> support reconstruction of the evidence available at the time of a decision. Incidents need an investigation route, user notification criteria, and corrective-action tracking.</w:t>
      </w:r>
    </w:p>
    <w:p w14:paraId="5DB47760" w14:textId="77777777" w:rsidR="001F25EE" w:rsidRDefault="00787332">
      <w:pPr>
        <w:spacing w:after="80"/>
        <w:jc w:val="both"/>
      </w:pPr>
      <w:r>
        <w:t>Ethical review should focus on foreseeable effects rather than only on formal co</w:t>
      </w:r>
      <w:r>
        <w:t xml:space="preserve">nsent. Exclusion, stigma, surveillance, automation bias, and unequal error rates may arise even when data collection is technically lawful. Stakeholder participation and accessible complaint mechanisms help identify harms that are not visible in benchmark </w:t>
      </w:r>
      <w:r>
        <w:t>results. Because biometric performance and rejection patterns can vary across populations and operating conditions, subgroup testing and accessible alternatives are essential safeguards (Temoshok et al., 2025).</w:t>
      </w:r>
    </w:p>
    <w:p w14:paraId="6F549130" w14:textId="77777777" w:rsidR="001F25EE" w:rsidRDefault="00787332">
      <w:pPr>
        <w:spacing w:before="100" w:after="60"/>
        <w:jc w:val="center"/>
      </w:pPr>
      <w:r>
        <w:rPr>
          <w:b/>
          <w:color w:val="111111"/>
          <w:sz w:val="18"/>
        </w:rPr>
        <w:t>Table 5. Risk-Control Register</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213"/>
        <w:gridCol w:w="3213"/>
        <w:gridCol w:w="3213"/>
      </w:tblGrid>
      <w:tr w:rsidR="001F25EE" w14:paraId="24FF897E" w14:textId="77777777">
        <w:trPr>
          <w:jc w:val="center"/>
        </w:trPr>
        <w:tc>
          <w:tcPr>
            <w:tcW w:w="3213" w:type="dxa"/>
            <w:shd w:val="clear" w:color="auto" w:fill="2F66B3"/>
          </w:tcPr>
          <w:p w14:paraId="1A52CD2F" w14:textId="77777777" w:rsidR="001F25EE" w:rsidRDefault="00787332">
            <w:pPr>
              <w:jc w:val="center"/>
            </w:pPr>
            <w:r>
              <w:rPr>
                <w:b/>
                <w:color w:val="FFFFFF"/>
                <w:sz w:val="15"/>
              </w:rPr>
              <w:lastRenderedPageBreak/>
              <w:t xml:space="preserve">Risk </w:t>
            </w:r>
            <w:r>
              <w:rPr>
                <w:b/>
                <w:color w:val="FFFFFF"/>
                <w:sz w:val="15"/>
              </w:rPr>
              <w:t>category</w:t>
            </w:r>
          </w:p>
        </w:tc>
        <w:tc>
          <w:tcPr>
            <w:tcW w:w="3213" w:type="dxa"/>
            <w:shd w:val="clear" w:color="auto" w:fill="2F66B3"/>
          </w:tcPr>
          <w:p w14:paraId="75964988" w14:textId="77777777" w:rsidR="001F25EE" w:rsidRDefault="00787332">
            <w:pPr>
              <w:jc w:val="center"/>
            </w:pPr>
            <w:r>
              <w:rPr>
                <w:b/>
                <w:color w:val="FFFFFF"/>
                <w:sz w:val="15"/>
              </w:rPr>
              <w:t>Preventive control</w:t>
            </w:r>
          </w:p>
        </w:tc>
        <w:tc>
          <w:tcPr>
            <w:tcW w:w="3213" w:type="dxa"/>
            <w:shd w:val="clear" w:color="auto" w:fill="2F66B3"/>
          </w:tcPr>
          <w:p w14:paraId="218FCEDC" w14:textId="77777777" w:rsidR="001F25EE" w:rsidRDefault="00787332">
            <w:pPr>
              <w:jc w:val="center"/>
            </w:pPr>
            <w:r>
              <w:rPr>
                <w:b/>
                <w:color w:val="FFFFFF"/>
                <w:sz w:val="15"/>
              </w:rPr>
              <w:t>Monitoring evidence</w:t>
            </w:r>
          </w:p>
        </w:tc>
      </w:tr>
      <w:tr w:rsidR="001F25EE" w14:paraId="5D9AB8B1" w14:textId="77777777">
        <w:trPr>
          <w:jc w:val="center"/>
        </w:trPr>
        <w:tc>
          <w:tcPr>
            <w:tcW w:w="3213" w:type="dxa"/>
            <w:vAlign w:val="center"/>
          </w:tcPr>
          <w:p w14:paraId="7A4A69C2" w14:textId="77777777" w:rsidR="001F25EE" w:rsidRDefault="00787332">
            <w:pPr>
              <w:spacing w:after="0"/>
            </w:pPr>
            <w:r>
              <w:rPr>
                <w:color w:val="111111"/>
                <w:sz w:val="15"/>
              </w:rPr>
              <w:t>Data quality</w:t>
            </w:r>
          </w:p>
        </w:tc>
        <w:tc>
          <w:tcPr>
            <w:tcW w:w="3213" w:type="dxa"/>
            <w:vAlign w:val="center"/>
          </w:tcPr>
          <w:p w14:paraId="13C82028" w14:textId="77777777" w:rsidR="001F25EE" w:rsidRDefault="00787332">
            <w:pPr>
              <w:spacing w:after="0"/>
            </w:pPr>
            <w:r>
              <w:rPr>
                <w:color w:val="111111"/>
                <w:sz w:val="15"/>
              </w:rPr>
              <w:t>Validation, provenance, quarantine</w:t>
            </w:r>
          </w:p>
        </w:tc>
        <w:tc>
          <w:tcPr>
            <w:tcW w:w="3213" w:type="dxa"/>
            <w:vAlign w:val="center"/>
          </w:tcPr>
          <w:p w14:paraId="7F864890" w14:textId="77777777" w:rsidR="001F25EE" w:rsidRDefault="00787332">
            <w:pPr>
              <w:spacing w:after="0"/>
            </w:pPr>
            <w:r>
              <w:rPr>
                <w:color w:val="111111"/>
                <w:sz w:val="15"/>
              </w:rPr>
              <w:t>Missingness and rejection logs</w:t>
            </w:r>
          </w:p>
        </w:tc>
      </w:tr>
      <w:tr w:rsidR="001F25EE" w14:paraId="2DF66AA5" w14:textId="77777777">
        <w:trPr>
          <w:jc w:val="center"/>
        </w:trPr>
        <w:tc>
          <w:tcPr>
            <w:tcW w:w="3213" w:type="dxa"/>
            <w:vAlign w:val="center"/>
          </w:tcPr>
          <w:p w14:paraId="13AC4C39" w14:textId="77777777" w:rsidR="001F25EE" w:rsidRDefault="00787332">
            <w:pPr>
              <w:spacing w:after="0"/>
            </w:pPr>
            <w:r>
              <w:rPr>
                <w:color w:val="111111"/>
                <w:sz w:val="15"/>
              </w:rPr>
              <w:t>Model or rule failure</w:t>
            </w:r>
          </w:p>
        </w:tc>
        <w:tc>
          <w:tcPr>
            <w:tcW w:w="3213" w:type="dxa"/>
            <w:vAlign w:val="center"/>
          </w:tcPr>
          <w:p w14:paraId="53F4EC17" w14:textId="77777777" w:rsidR="001F25EE" w:rsidRDefault="00787332">
            <w:pPr>
              <w:spacing w:after="0"/>
            </w:pPr>
            <w:r>
              <w:rPr>
                <w:color w:val="111111"/>
                <w:sz w:val="15"/>
              </w:rPr>
              <w:t>Calibration and bounded use</w:t>
            </w:r>
          </w:p>
        </w:tc>
        <w:tc>
          <w:tcPr>
            <w:tcW w:w="3213" w:type="dxa"/>
            <w:vAlign w:val="center"/>
          </w:tcPr>
          <w:p w14:paraId="76120FD6" w14:textId="77777777" w:rsidR="001F25EE" w:rsidRDefault="00787332">
            <w:pPr>
              <w:spacing w:after="0"/>
            </w:pPr>
            <w:r>
              <w:rPr>
                <w:color w:val="111111"/>
                <w:sz w:val="15"/>
              </w:rPr>
              <w:t>Error and override patterns</w:t>
            </w:r>
          </w:p>
        </w:tc>
      </w:tr>
      <w:tr w:rsidR="001F25EE" w14:paraId="06CCEBC1" w14:textId="77777777">
        <w:trPr>
          <w:jc w:val="center"/>
        </w:trPr>
        <w:tc>
          <w:tcPr>
            <w:tcW w:w="3213" w:type="dxa"/>
            <w:vAlign w:val="center"/>
          </w:tcPr>
          <w:p w14:paraId="616616FA" w14:textId="77777777" w:rsidR="001F25EE" w:rsidRDefault="00787332">
            <w:pPr>
              <w:spacing w:after="0"/>
            </w:pPr>
            <w:r>
              <w:rPr>
                <w:color w:val="111111"/>
                <w:sz w:val="15"/>
              </w:rPr>
              <w:t>Privacy and security</w:t>
            </w:r>
          </w:p>
        </w:tc>
        <w:tc>
          <w:tcPr>
            <w:tcW w:w="3213" w:type="dxa"/>
            <w:vAlign w:val="center"/>
          </w:tcPr>
          <w:p w14:paraId="248C6943" w14:textId="77777777" w:rsidR="001F25EE" w:rsidRDefault="00787332">
            <w:pPr>
              <w:spacing w:after="0"/>
            </w:pPr>
            <w:r>
              <w:rPr>
                <w:color w:val="111111"/>
                <w:sz w:val="15"/>
              </w:rPr>
              <w:t xml:space="preserve">Minimisation, </w:t>
            </w:r>
            <w:r>
              <w:rPr>
                <w:color w:val="111111"/>
                <w:sz w:val="15"/>
              </w:rPr>
              <w:t>encryption, access control</w:t>
            </w:r>
          </w:p>
        </w:tc>
        <w:tc>
          <w:tcPr>
            <w:tcW w:w="3213" w:type="dxa"/>
            <w:vAlign w:val="center"/>
          </w:tcPr>
          <w:p w14:paraId="39AEED28" w14:textId="77777777" w:rsidR="001F25EE" w:rsidRDefault="00787332">
            <w:pPr>
              <w:spacing w:after="0"/>
            </w:pPr>
            <w:r>
              <w:rPr>
                <w:color w:val="111111"/>
                <w:sz w:val="15"/>
              </w:rPr>
              <w:t>Audit and incident records</w:t>
            </w:r>
          </w:p>
        </w:tc>
      </w:tr>
      <w:tr w:rsidR="001F25EE" w14:paraId="75093D52" w14:textId="77777777">
        <w:trPr>
          <w:jc w:val="center"/>
        </w:trPr>
        <w:tc>
          <w:tcPr>
            <w:tcW w:w="3213" w:type="dxa"/>
            <w:vAlign w:val="center"/>
          </w:tcPr>
          <w:p w14:paraId="7E7D04E1" w14:textId="77777777" w:rsidR="001F25EE" w:rsidRDefault="00787332">
            <w:pPr>
              <w:spacing w:after="0"/>
            </w:pPr>
            <w:r>
              <w:rPr>
                <w:color w:val="111111"/>
                <w:sz w:val="15"/>
              </w:rPr>
              <w:t>Human factors</w:t>
            </w:r>
          </w:p>
        </w:tc>
        <w:tc>
          <w:tcPr>
            <w:tcW w:w="3213" w:type="dxa"/>
            <w:vAlign w:val="center"/>
          </w:tcPr>
          <w:p w14:paraId="1D312DAB" w14:textId="77777777" w:rsidR="001F25EE" w:rsidRDefault="00787332">
            <w:pPr>
              <w:spacing w:after="0"/>
            </w:pPr>
            <w:r>
              <w:rPr>
                <w:color w:val="111111"/>
                <w:sz w:val="15"/>
              </w:rPr>
              <w:t>Training, explanation, escalation</w:t>
            </w:r>
          </w:p>
        </w:tc>
        <w:tc>
          <w:tcPr>
            <w:tcW w:w="3213" w:type="dxa"/>
            <w:vAlign w:val="center"/>
          </w:tcPr>
          <w:p w14:paraId="02B1AB67" w14:textId="77777777" w:rsidR="001F25EE" w:rsidRDefault="00787332">
            <w:pPr>
              <w:spacing w:after="0"/>
            </w:pPr>
            <w:r>
              <w:rPr>
                <w:color w:val="111111"/>
                <w:sz w:val="15"/>
              </w:rPr>
              <w:t>Task error and complaint trends</w:t>
            </w:r>
          </w:p>
        </w:tc>
      </w:tr>
    </w:tbl>
    <w:p w14:paraId="7E8267C0" w14:textId="77777777" w:rsidR="001F25EE" w:rsidRDefault="00787332">
      <w:pPr>
        <w:spacing w:after="80"/>
        <w:jc w:val="both"/>
      </w:pPr>
      <w:r>
        <w:rPr>
          <w:color w:val="111111"/>
        </w:rPr>
        <w:t xml:space="preserve">Residual risk should be accepted only by a named authority with access to the supporting evidence. Controls that </w:t>
      </w:r>
      <w:r>
        <w:rPr>
          <w:color w:val="111111"/>
        </w:rPr>
        <w:t>depend on people, such as manual review or training, need capacity estimates and periodic competency checks. Controls that depend on technology need health monitoring and fallback behaviour. This distinction matters because a policy can appear comprehensiv</w:t>
      </w:r>
      <w:r>
        <w:rPr>
          <w:color w:val="111111"/>
        </w:rPr>
        <w:t>e while failing operationally when reviewers are unavailable, logs are not examined, or alerts are routinely ignored.</w:t>
      </w:r>
    </w:p>
    <w:p w14:paraId="6BD33658" w14:textId="77777777" w:rsidR="001F25EE" w:rsidRDefault="00787332">
      <w:pPr>
        <w:pStyle w:val="JASTEH2"/>
      </w:pPr>
      <w:r>
        <w:t>6.1 DETAILED ENGINEERING CONSIDERATIONS</w:t>
      </w:r>
    </w:p>
    <w:p w14:paraId="20D8C914" w14:textId="77777777" w:rsidR="001F25EE" w:rsidRDefault="00787332">
      <w:pPr>
        <w:spacing w:after="80"/>
        <w:jc w:val="both"/>
      </w:pPr>
      <w:r>
        <w:rPr>
          <w:color w:val="111111"/>
        </w:rPr>
        <w:t>Requirements traceability should begin with a matrix that links the stated purpose of a layered de</w:t>
      </w:r>
      <w:r>
        <w:rPr>
          <w:color w:val="111111"/>
        </w:rPr>
        <w:t>epfake-voice-resilient authentication architecture to data elements, processing functions, interface behaviour, validation measures, and responsible roles. A requirement is incomplete when it names a feature but not the condition under which the feature mu</w:t>
      </w:r>
      <w:r>
        <w:rPr>
          <w:color w:val="111111"/>
        </w:rPr>
        <w:t>st operate. Traceability also allows an auditor to determine whether a later software update changes a safety-relevant assumption or introduces a function that was never evaluated in the original protocol.</w:t>
      </w:r>
    </w:p>
    <w:p w14:paraId="37A6C887" w14:textId="77777777" w:rsidR="001F25EE" w:rsidRDefault="00787332">
      <w:pPr>
        <w:spacing w:after="80"/>
        <w:jc w:val="both"/>
      </w:pPr>
      <w:r>
        <w:rPr>
          <w:color w:val="111111"/>
        </w:rPr>
        <w:t>The input specification must distinguish raw obser</w:t>
      </w:r>
      <w:r>
        <w:rPr>
          <w:color w:val="111111"/>
        </w:rPr>
        <w:t>vations, derived variables, contextual metadata, and reviewer annotations. For this application, relevant inputs include quality-controlled speech, device and codec context, spectral and learned representations, speaker-verification evidence, liveness cues</w:t>
      </w:r>
      <w:r>
        <w:rPr>
          <w:color w:val="111111"/>
        </w:rPr>
        <w:t>, interaction history, and accessibility preferences. Each field requires a definition, allowable range, unit, timestamp convention, source identifier, missing-value code, and quality flag. Treating metadata as optional documentation rather than as part of</w:t>
      </w:r>
      <w:r>
        <w:rPr>
          <w:color w:val="111111"/>
        </w:rPr>
        <w:t xml:space="preserve"> the analytical record would make it difficult to reproduce processing or explain why two apparently similar cases received different outputs.</w:t>
      </w:r>
    </w:p>
    <w:p w14:paraId="1467A8BB" w14:textId="77777777" w:rsidR="001F25EE" w:rsidRDefault="00787332">
      <w:pPr>
        <w:spacing w:after="80"/>
        <w:jc w:val="both"/>
      </w:pPr>
      <w:r>
        <w:rPr>
          <w:color w:val="111111"/>
        </w:rPr>
        <w:t>Data-quality control should operate before, during, and after analysis. Pre-processing checks identify incomplete</w:t>
      </w:r>
      <w:r>
        <w:rPr>
          <w:color w:val="111111"/>
        </w:rPr>
        <w:t>, corrupted, duplicated, or implausible records. In-process checks detect numerical instability, unsupported formats, and component failures. Post-process checks determine whether outputs are internally consistent and accompanied by the evidence needed for</w:t>
      </w:r>
      <w:r>
        <w:rPr>
          <w:color w:val="111111"/>
        </w:rPr>
        <w:t xml:space="preserve"> interpretation. The system should preserve rejected records and rejection reasons for quality monitoring, while ensuring they do not silently enter a decision as valid low values.</w:t>
      </w:r>
    </w:p>
    <w:p w14:paraId="67C0BE8F" w14:textId="77777777" w:rsidR="001F25EE" w:rsidRDefault="00787332">
      <w:pPr>
        <w:spacing w:after="80"/>
        <w:jc w:val="both"/>
      </w:pPr>
      <w:r>
        <w:rPr>
          <w:color w:val="111111"/>
        </w:rPr>
        <w:t>A modular architecture is preferable because analytical techniques, devices</w:t>
      </w:r>
      <w:r>
        <w:rPr>
          <w:color w:val="111111"/>
        </w:rPr>
        <w:t>, platforms, and standards evolve at different rates. Modules should exchange data through documented interfaces and should expose status codes rather than hiding failures behind default values. Containerisation or equivalent environment control can improv</w:t>
      </w:r>
      <w:r>
        <w:rPr>
          <w:color w:val="111111"/>
        </w:rPr>
        <w:t>e reproducibility, but it does not replace documentation of dependencies, random seeds, configuration files, and model artefacts. Reproducibility requires both executable software and a comprehensible record of how it was used.</w:t>
      </w:r>
    </w:p>
    <w:p w14:paraId="685B6FBB" w14:textId="77777777" w:rsidR="001F25EE" w:rsidRDefault="00787332">
      <w:pPr>
        <w:spacing w:after="80"/>
        <w:jc w:val="both"/>
      </w:pPr>
      <w:r>
        <w:t>Feature engineering should b</w:t>
      </w:r>
      <w:r>
        <w:t>e justified by the domain problem rather than by convenience alone. Candidate features may reflect patterns in voice security for digital assistants used by older adults, but their meaning can change across populations, devices, languages, or operating con</w:t>
      </w:r>
      <w:r>
        <w:t>ditions. Exploratory associations therefore should not automatically become decision rules. Stability analysis, ablation testing, and expert review can determine whether a feature contributes useful information, acts as a proxy for an irrelevant characteri</w:t>
      </w:r>
      <w:r>
        <w:t>stic, or increases complexity without improving decisions. CQCC features, phase information, raw-waveform learning, and phonetic microfeatures each capture different artefacts and should be compared through controlled ablation rather than assumed to be uni</w:t>
      </w:r>
      <w:r>
        <w:t>versally superior (Dhamyal et al., 2021; Ge et al., 2021; Todisco et al., 2016; Yoon &amp; Yu, 2021).</w:t>
      </w:r>
    </w:p>
    <w:p w14:paraId="16DA3579" w14:textId="77777777" w:rsidR="001F25EE" w:rsidRDefault="00787332">
      <w:pPr>
        <w:spacing w:after="80"/>
        <w:jc w:val="both"/>
      </w:pPr>
      <w:r>
        <w:t xml:space="preserve">When machine-learning or rule-based components are compared, the baseline must represent a credible alternative rather than an intentionally weak comparator. </w:t>
      </w:r>
      <w:r>
        <w:t>A simple and transparent baseline is valuable because it shows whether additional complexity produces a meaningful improvement. Comparisons should hold data partitions, evaluation conditions, and decision thresholds constant. If a more complex model offers</w:t>
      </w:r>
      <w:r>
        <w:t xml:space="preserve"> only a small average gain while increasing latency, maintenance burden, or subgroup disparity, the simpler option may be preferable. Credible baselines include CQCC-based countermeasures and reproducible end-to-end models such as RawNet2 and AASIST (Jung </w:t>
      </w:r>
      <w:r>
        <w:t>et al., 2022; Tak et al., 2021a; Todisco et al., 2016).</w:t>
      </w:r>
    </w:p>
    <w:p w14:paraId="4C4222F2" w14:textId="77777777" w:rsidR="001F25EE" w:rsidRDefault="00787332">
      <w:pPr>
        <w:spacing w:after="80"/>
        <w:jc w:val="both"/>
      </w:pPr>
      <w:r>
        <w:t>Uncertainty should be represented explicitly at component and system levels. Component uncertainty can arise from poor input quality, ambiguous patterns, missing context, or an observation outside the</w:t>
      </w:r>
      <w:r>
        <w:t xml:space="preserve"> development distribution. System-level uncertainty also reflects disagreement among components. The architecture should define when uncertainty produces an informational warning, requests additional evidence, routes the case to a reviewer, or causes the s</w:t>
      </w:r>
      <w:r>
        <w:t>ystem to abstain. Abstention is a designed safety response, not an analytical failure. Out-of-distribution uncertainty is central because known-attack accuracy does not guarantee performance against new generators, codecs, or recording chains (Kawa et al.,</w:t>
      </w:r>
      <w:r>
        <w:t xml:space="preserve"> 2022; Müller et al., 2022).</w:t>
      </w:r>
    </w:p>
    <w:p w14:paraId="20437C67" w14:textId="77777777" w:rsidR="001F25EE" w:rsidRDefault="00787332">
      <w:pPr>
        <w:spacing w:after="80"/>
        <w:jc w:val="both"/>
      </w:pPr>
      <w:r>
        <w:t>Threshold selection should follow the consequences of error. False acceptance and false rejection rarely have equal operational costs, and those costs may vary by case. Decision-curve analysis, cost-sensitive evaluation, or sce</w:t>
      </w:r>
      <w:r>
        <w:t xml:space="preserve">nario-based stakeholder review can help identify defensible thresholds. Thresholds should not be selected solely to maximise </w:t>
      </w:r>
      <w:r>
        <w:lastRenderedPageBreak/>
        <w:t xml:space="preserve">one summary statistic. The final report must state the selected threshold, the resulting error trade-off, and the conditions under </w:t>
      </w:r>
      <w:r>
        <w:t>which a different threshold would be required. Cost-sensitive thresholding is supported by the t-DCF framework, which combines target, non-target, and spoof priors with the costs of ASV and countermeasure errors (Kinnunen et al., 2018).</w:t>
      </w:r>
    </w:p>
    <w:p w14:paraId="580830C4" w14:textId="77777777" w:rsidR="001F25EE" w:rsidRDefault="00787332">
      <w:pPr>
        <w:spacing w:after="80"/>
        <w:jc w:val="both"/>
      </w:pPr>
      <w:r>
        <w:rPr>
          <w:color w:val="111111"/>
        </w:rPr>
        <w:t xml:space="preserve">Human review </w:t>
      </w:r>
      <w:r>
        <w:rPr>
          <w:color w:val="111111"/>
        </w:rPr>
        <w:t>remains central because the intended users include older adults, caregivers, security engineers, speech researchers, digital-assistant providers, and privacy officers. Reviewers need a defined task, access to relevant evidence, competence requirements, and</w:t>
      </w:r>
      <w:r>
        <w:rPr>
          <w:color w:val="111111"/>
        </w:rPr>
        <w:t xml:space="preserve"> authority to override the system. The interface should record the reviewer’s decision and rationale without pressuring agreement with the automated suggestion. Override rates are useful monitoring signals, but a high or low rate is not automatically good;</w:t>
      </w:r>
      <w:r>
        <w:rPr>
          <w:color w:val="111111"/>
        </w:rPr>
        <w:t xml:space="preserve"> the pattern must be interpreted alongside case difficulty, calibration, and reviewer consistency.</w:t>
      </w:r>
    </w:p>
    <w:p w14:paraId="4D43B5A1" w14:textId="77777777" w:rsidR="001F25EE" w:rsidRDefault="00787332">
      <w:pPr>
        <w:spacing w:after="80"/>
        <w:jc w:val="both"/>
      </w:pPr>
      <w:r>
        <w:rPr>
          <w:color w:val="111111"/>
        </w:rPr>
        <w:t>Explanation design should answer practical questions: what evidence influenced the output, which evidence was missing, how reliable were the components, what</w:t>
      </w:r>
      <w:r>
        <w:rPr>
          <w:color w:val="111111"/>
        </w:rPr>
        <w:t xml:space="preserve"> limitations apply, and what action is recommended next. Technical feature rankings may be useful to developers but insufficient for domain users. Explanations should be evaluated for correct interpretation, not merely for user preference. A visually attra</w:t>
      </w:r>
      <w:r>
        <w:rPr>
          <w:color w:val="111111"/>
        </w:rPr>
        <w:t>ctive explanation can be harmful if it creates unwarranted confidence or conceals uncertainty.</w:t>
      </w:r>
    </w:p>
    <w:p w14:paraId="399BC6F1" w14:textId="77777777" w:rsidR="001F25EE" w:rsidRDefault="00787332">
      <w:pPr>
        <w:spacing w:after="80"/>
        <w:jc w:val="both"/>
      </w:pPr>
      <w:r>
        <w:rPr>
          <w:color w:val="111111"/>
        </w:rPr>
        <w:t>The audit trail should support reconstruction of a decision at the time it was made. Required elements include input identifiers and hashes where appropriate, co</w:t>
      </w:r>
      <w:r>
        <w:rPr>
          <w:color w:val="111111"/>
        </w:rPr>
        <w:t>nsent or authority status, software and model versions, configuration values, component warnings, timestamps, reviewer actions, and final disposition. Audit records need access controls and retention rules. They should be searchable for incident analysis w</w:t>
      </w:r>
      <w:r>
        <w:rPr>
          <w:color w:val="111111"/>
        </w:rPr>
        <w:t>hile avoiding unnecessary replication of sensitive source information.</w:t>
      </w:r>
    </w:p>
    <w:p w14:paraId="282BE325" w14:textId="77777777" w:rsidR="001F25EE" w:rsidRDefault="00787332">
      <w:pPr>
        <w:spacing w:after="80"/>
        <w:jc w:val="both"/>
      </w:pPr>
      <w:r>
        <w:t>Security analysis should adopt a threat model that identifies assets, actors, attack surfaces, and plausible consequences. Threats may include unauthorised access, manipulation of input</w:t>
      </w:r>
      <w:r>
        <w:t>s, replay or duplication, model extraction, malicious files, compromised dependencies, or alteration of logs. Controls should be tested through code review, dependency scanning, authentication checks, adversarial scenarios, and recovery exercises. A system</w:t>
      </w:r>
      <w:r>
        <w:t xml:space="preserve"> cannot be considered reliable if an attacker can bypass the analytical safeguards through a weaker operational interface. Threat modeling should include adversarial examples and active impersonation because speaker-recognition systems can be manipulated e</w:t>
      </w:r>
      <w:r>
        <w:t>ven when ordinary zero-effort impostor performance appears strong (G. Chen et al., 2021).</w:t>
      </w:r>
    </w:p>
    <w:p w14:paraId="36B5C2E1" w14:textId="77777777" w:rsidR="001F25EE" w:rsidRDefault="00787332">
      <w:pPr>
        <w:spacing w:after="80"/>
        <w:jc w:val="both"/>
      </w:pPr>
      <w:r>
        <w:t>Privacy-by-design requires limiting collection to the declared purpose and providing a documented retention schedule. Pseudonymisation may reduce exposure but does no</w:t>
      </w:r>
      <w:r>
        <w:t>t eliminate re-identification risk when contextual fields are rich. Access should be role-based and periodically reviewed. Privacy testing should include export, backup, logging, and support workflows because sensitive data often escape the primary databas</w:t>
      </w:r>
      <w:r>
        <w:t>e through secondary operational processes rather than through the intended analytical path. Voice samples and templates should be treated as sensitive personal information, protected with data minimization, access control, encrypted transfer, retention lim</w:t>
      </w:r>
      <w:r>
        <w:t>its, and tested deletion processes (NIST, 2020; Temoshok et al., 2025).</w:t>
      </w:r>
    </w:p>
    <w:p w14:paraId="760213AB" w14:textId="77777777" w:rsidR="001F25EE" w:rsidRDefault="00787332">
      <w:pPr>
        <w:spacing w:after="80"/>
        <w:jc w:val="both"/>
      </w:pPr>
      <w:r>
        <w:t>Performance monitoring after deployment should cover equal error rate, tandem detection cost, spoof false-acceptance rate, speaker false-rejection rate, calibration, latency, processor</w:t>
      </w:r>
      <w:r>
        <w:t xml:space="preserve"> load, battery impact, and accessibility failure rate. Monitoring needs reference ranges, alert thresholds, and an investigation procedure. A change in output distribution may reflect population change, a platform update, device replacement, reviewer behav</w:t>
      </w:r>
      <w:r>
        <w:t>iour, or a genuine change in the underlying phenomenon. Automated retraining should not occur merely because drift is detected; the cause and safety consequences must be understood before the production system is modified. The combination of EER, t-DCF, ca</w:t>
      </w:r>
      <w:r>
        <w:t>libration, latency, and resource measures is consistent with contemporary anti-spoofing evaluation, including systems designed for resource-constrained environments (Dhamyal et al., 2021; Kinnunen et al., 2018).</w:t>
      </w:r>
    </w:p>
    <w:p w14:paraId="48B97078" w14:textId="77777777" w:rsidR="001F25EE" w:rsidRDefault="00787332">
      <w:pPr>
        <w:spacing w:after="80"/>
        <w:jc w:val="both"/>
      </w:pPr>
      <w:r>
        <w:rPr>
          <w:color w:val="111111"/>
        </w:rPr>
        <w:t>Subgroup analysis should be planned before f</w:t>
      </w:r>
      <w:r>
        <w:rPr>
          <w:color w:val="111111"/>
        </w:rPr>
        <w:t>inal evaluation. Relevant groupings may involve language, age, device, environment, experience, accessibility requirement, or service setting. Small groups require careful uncertainty reporting and should not be omitted simply because estimates are less pr</w:t>
      </w:r>
      <w:r>
        <w:rPr>
          <w:color w:val="111111"/>
        </w:rPr>
        <w:t>ecise. If a subgroup cannot be evaluated adequately, the limitation should define a deployment restriction or a targeted data-collection priority rather than being reduced to a brief caveat.</w:t>
      </w:r>
    </w:p>
    <w:p w14:paraId="0D1C946C" w14:textId="77777777" w:rsidR="001F25EE" w:rsidRDefault="00787332">
      <w:pPr>
        <w:spacing w:after="80"/>
        <w:jc w:val="both"/>
      </w:pPr>
      <w:r>
        <w:t>Usability evaluation should use representative tasks and realisti</w:t>
      </w:r>
      <w:r>
        <w:t>c constraints. Participants should encounter routine cases, ambiguous evidence, system warnings, and a recoverable failure. Researchers should measure task completion, time, navigation errors, interpretation, confidence calibration, and use of help or esca</w:t>
      </w:r>
      <w:r>
        <w:t>lation. Think-aloud methods and post-task interviews can explain why an error occurred. Satisfaction scores alone cannot establish that users understood the output or relied on it appropriately. Accessibility testing should use representative users and tas</w:t>
      </w:r>
      <w:r>
        <w:t>ks rather than checklist compliance alone, following the context-of-use orientation of ISO 9241-11 and the perceivable, operable, understandable, and robust principles of WCAG 2.2 (ISO, 2018; W3C, 2023).</w:t>
      </w:r>
    </w:p>
    <w:p w14:paraId="1C76AB22" w14:textId="77777777" w:rsidR="001F25EE" w:rsidRDefault="00787332">
      <w:pPr>
        <w:spacing w:after="80"/>
        <w:jc w:val="both"/>
      </w:pPr>
      <w:r>
        <w:rPr>
          <w:color w:val="111111"/>
        </w:rPr>
        <w:t>Operational resilience requires graceful degradation</w:t>
      </w:r>
      <w:r>
        <w:rPr>
          <w:color w:val="111111"/>
        </w:rPr>
        <w:t>. When connectivity, sensors, external services, or analytical modules are unavailable, the system should preserve data safely, communicate status accurately, and provide an alternative workflow. Recovery testing should confirm that queued records are proc</w:t>
      </w:r>
      <w:r>
        <w:rPr>
          <w:color w:val="111111"/>
        </w:rPr>
        <w:t xml:space="preserve">essed once, not lost or duplicated, </w:t>
      </w:r>
      <w:r>
        <w:rPr>
          <w:color w:val="111111"/>
        </w:rPr>
        <w:lastRenderedPageBreak/>
        <w:t>and that timestamps remain interpretable. Business-continuity plans should identify minimum functions, responsible personnel, backup locations, and the maximum acceptable interruption.</w:t>
      </w:r>
    </w:p>
    <w:p w14:paraId="0F8FFE29" w14:textId="77777777" w:rsidR="001F25EE" w:rsidRDefault="00787332">
      <w:pPr>
        <w:spacing w:after="80"/>
        <w:jc w:val="both"/>
      </w:pPr>
      <w:r>
        <w:rPr>
          <w:color w:val="111111"/>
        </w:rPr>
        <w:t>A staged implementation is necessar</w:t>
      </w:r>
      <w:r>
        <w:rPr>
          <w:color w:val="111111"/>
        </w:rPr>
        <w:t>y because a privacy-preserving multimodal service with secure templates, challenge variation, calibrated decisions, accessible fallback, incident logging, and continuous attack evaluation. The offline stage verifies component behaviour; a sandbox stage tes</w:t>
      </w:r>
      <w:r>
        <w:rPr>
          <w:color w:val="111111"/>
        </w:rPr>
        <w:t>ts integration without affecting real decisions; a limited pilot examines usability and workflow; supervised operation evaluates real-world errors; and broader release occurs only after predefined criteria are met. Each stage should produce a decision reco</w:t>
      </w:r>
      <w:r>
        <w:rPr>
          <w:color w:val="111111"/>
        </w:rPr>
        <w:t>rd documenting evidence, unresolved risks, corrective actions, and approval to proceed.</w:t>
      </w:r>
    </w:p>
    <w:p w14:paraId="22163753" w14:textId="77777777" w:rsidR="001F25EE" w:rsidRDefault="00787332">
      <w:pPr>
        <w:spacing w:after="80"/>
        <w:jc w:val="both"/>
      </w:pPr>
      <w:r>
        <w:rPr>
          <w:color w:val="111111"/>
        </w:rPr>
        <w:t>Economic evaluation should consider more than development expenditure. Relevant costs include data preparation, hardware replacement, software licences, security review</w:t>
      </w:r>
      <w:r>
        <w:rPr>
          <w:color w:val="111111"/>
        </w:rPr>
        <w:t>, user training, reviewer time, technical support, monitoring, incident response, and future migration. Benefits should be linked to measurable workflow or quality outcomes rather than to general claims of innovation. A sustainable design identifies the or</w:t>
      </w:r>
      <w:r>
        <w:rPr>
          <w:color w:val="111111"/>
        </w:rPr>
        <w:t>ganisation responsible for recurring costs after the research project or initial grant ends.</w:t>
      </w:r>
    </w:p>
    <w:p w14:paraId="4955291E" w14:textId="77777777" w:rsidR="001F25EE" w:rsidRDefault="00787332">
      <w:pPr>
        <w:spacing w:after="80"/>
        <w:jc w:val="both"/>
      </w:pPr>
      <w:r>
        <w:rPr>
          <w:color w:val="111111"/>
        </w:rPr>
        <w:t>Interoperability should be addressed at syntactic, semantic, and organisational levels. Compatible file formats do not guarantee that two systems interpret a field</w:t>
      </w:r>
      <w:r>
        <w:rPr>
          <w:color w:val="111111"/>
        </w:rPr>
        <w:t xml:space="preserve"> in the same way or are authorised to exchange it. The implementation should use controlled vocabularies where available, version interfaces, validate incoming messages, and document ownership. Integration testing must cover error handling and reconciliati</w:t>
      </w:r>
      <w:r>
        <w:rPr>
          <w:color w:val="111111"/>
        </w:rPr>
        <w:t>on, not only successful transfer of ideal records.</w:t>
      </w:r>
    </w:p>
    <w:p w14:paraId="6317460D" w14:textId="77777777" w:rsidR="001F25EE" w:rsidRDefault="00787332">
      <w:pPr>
        <w:spacing w:after="80"/>
        <w:jc w:val="both"/>
      </w:pPr>
      <w:r>
        <w:rPr>
          <w:color w:val="111111"/>
        </w:rPr>
        <w:t>Change management should classify modifications by their possible impact. Cosmetic wording changes, dependency patches, new devices, revised thresholds, altered features, and replacement models do not carr</w:t>
      </w:r>
      <w:r>
        <w:rPr>
          <w:color w:val="111111"/>
        </w:rPr>
        <w:t>y the same risk. High-impact changes require regression testing and possibly renewed human-subject, privacy, security, or domain review. Release notes should describe the change, rationale, evidence, compatibility implications, rollback procedure, and pers</w:t>
      </w:r>
      <w:r>
        <w:rPr>
          <w:color w:val="111111"/>
        </w:rPr>
        <w:t>on approving deployment.</w:t>
      </w:r>
    </w:p>
    <w:p w14:paraId="0EE75EFB" w14:textId="77777777" w:rsidR="001F25EE" w:rsidRDefault="00787332">
      <w:pPr>
        <w:spacing w:after="80"/>
        <w:jc w:val="both"/>
      </w:pPr>
      <w:r>
        <w:t xml:space="preserve">The major known hazards include unseen synthesis methods, replay attacks, channel mismatch, ageing voice, illness, noisy rooms, demographic performance gaps, and exclusion through repeated rejection. Hazard analysis should examine </w:t>
      </w:r>
      <w:r>
        <w:t>combinations rather than treating each risk independently. For example, degraded input quality combined with high reviewer workload may be more dangerous than either condition alone. Scenario tables and fault-tree or failure-mode analysis can help trace ho</w:t>
      </w:r>
      <w:r>
        <w:t>w technical, human, and organisational weaknesses interact. Controls should prioritise preventing severe harm and detecting conditions that remain outside the validated operating boundary. Attack combinations and channel mismatch should be evaluated throug</w:t>
      </w:r>
      <w:r>
        <w:t>h challenge sets that vary generators, codecs, microphones, replay configurations, and languages (X. Chen et al., 2021; Das, 2021; Tomilov et al., 2021).</w:t>
      </w:r>
    </w:p>
    <w:p w14:paraId="5D337921" w14:textId="77777777" w:rsidR="001F25EE" w:rsidRDefault="00787332">
      <w:pPr>
        <w:spacing w:after="80"/>
        <w:jc w:val="both"/>
      </w:pPr>
      <w:r>
        <w:rPr>
          <w:color w:val="111111"/>
        </w:rPr>
        <w:t xml:space="preserve">Reporting should separate development observations, validation results, and operational evidence. The </w:t>
      </w:r>
      <w:r>
        <w:rPr>
          <w:color w:val="111111"/>
        </w:rPr>
        <w:t>manuscript or technical report should make clear which statements are supported directly by data, which are interpretations, and which are proposed requirements for future testing. Negative and inconclusive results are important because they define where t</w:t>
      </w:r>
      <w:r>
        <w:rPr>
          <w:color w:val="111111"/>
        </w:rPr>
        <w:t>he technology should not be trusted. Selective presentation of only the best-performing configuration would weaken both scientific reproducibility and responsible governance.</w:t>
      </w:r>
    </w:p>
    <w:p w14:paraId="1ABADECD" w14:textId="77777777" w:rsidR="001F25EE" w:rsidRDefault="00787332">
      <w:pPr>
        <w:spacing w:after="80"/>
        <w:jc w:val="both"/>
      </w:pPr>
      <w:r>
        <w:rPr>
          <w:color w:val="111111"/>
        </w:rPr>
        <w:t>A final readiness review should verify that the technical file, user documentatio</w:t>
      </w:r>
      <w:r>
        <w:rPr>
          <w:color w:val="111111"/>
        </w:rPr>
        <w:t>n, training materials, monitoring plan, risk register, incident procedure, and maintenance ownership are mutually consistent. Readiness is not achieved merely because a prototype runs successfully. Deployment should be postponed when critical evidence is m</w:t>
      </w:r>
      <w:r>
        <w:rPr>
          <w:color w:val="111111"/>
        </w:rPr>
        <w:t>issing, when staff cannot provide oversight, or when fallback procedures have not been exercised. This conservative criterion protects users and preserves the credibility of subsequent evaluation.</w:t>
      </w:r>
    </w:p>
    <w:p w14:paraId="0E0222F6" w14:textId="77777777" w:rsidR="001F25EE" w:rsidRDefault="00787332">
      <w:pPr>
        <w:spacing w:after="80"/>
        <w:jc w:val="both"/>
      </w:pPr>
      <w:r>
        <w:rPr>
          <w:color w:val="111111"/>
        </w:rPr>
        <w:t>Prototype evaluation for a layered deepfake-voice-resilient</w:t>
      </w:r>
      <w:r>
        <w:rPr>
          <w:color w:val="111111"/>
        </w:rPr>
        <w:t xml:space="preserve"> authentication architecture should use an implementation dossier prepared before testing begins. The dossier should contain the architecture diagram, data dictionary, software bill of materials, configuration baseline, test cases, risk register, and decis</w:t>
      </w:r>
      <w:r>
        <w:rPr>
          <w:color w:val="111111"/>
        </w:rPr>
        <w:t>ion log. Preparing these materials early reveals missing assumptions and prevents documentation from being reconstructed retrospectively after favourable results are known. The dossier also provides a stable reference for independent reviewers and later re</w:t>
      </w:r>
      <w:r>
        <w:rPr>
          <w:color w:val="111111"/>
        </w:rPr>
        <w:t>plication.</w:t>
      </w:r>
    </w:p>
    <w:p w14:paraId="0303EB99" w14:textId="77777777" w:rsidR="001F25EE" w:rsidRDefault="00787332">
      <w:pPr>
        <w:spacing w:after="80"/>
        <w:jc w:val="both"/>
      </w:pPr>
      <w:r>
        <w:rPr>
          <w:color w:val="111111"/>
        </w:rPr>
        <w:t>Test cases should be derived from requirements and hazards. Positive cases confirm expected functions, boundary cases examine limits, negative cases verify rejection or abstention, and recovery cases examine behaviour after interruption or corru</w:t>
      </w:r>
      <w:r>
        <w:rPr>
          <w:color w:val="111111"/>
        </w:rPr>
        <w:t>pted input. Every critical requirement should map to at least one test, and every high-severity hazard should map to a control verification. Coverage should be reported explicitly rather than inferred from the number of tests conducted.</w:t>
      </w:r>
    </w:p>
    <w:p w14:paraId="4871F0D9" w14:textId="77777777" w:rsidR="001F25EE" w:rsidRDefault="00787332">
      <w:pPr>
        <w:spacing w:after="80"/>
        <w:jc w:val="both"/>
      </w:pPr>
      <w:r>
        <w:rPr>
          <w:color w:val="111111"/>
        </w:rPr>
        <w:t>Pilot sampling shou</w:t>
      </w:r>
      <w:r>
        <w:rPr>
          <w:color w:val="111111"/>
        </w:rPr>
        <w:t>ld represent the intended operating range, including common cases and difficult conditions. Convenience samples can be useful for early debugging but cannot establish deployment readiness. Recruitment and case selection should document who or what is absen</w:t>
      </w:r>
      <w:r>
        <w:rPr>
          <w:color w:val="111111"/>
        </w:rPr>
        <w:t>t from the evidence. Where rare but serious events cannot be sampled prospectively, carefully designed simulations or retrospective challenge sets may supplement—but should not be confused with—field effectiveness evidence.</w:t>
      </w:r>
    </w:p>
    <w:p w14:paraId="56318B60" w14:textId="77777777" w:rsidR="001F25EE" w:rsidRDefault="00787332">
      <w:pPr>
        <w:spacing w:after="80"/>
        <w:jc w:val="both"/>
      </w:pPr>
      <w:r>
        <w:rPr>
          <w:color w:val="111111"/>
        </w:rPr>
        <w:t>Quantitative analysis should rep</w:t>
      </w:r>
      <w:r>
        <w:rPr>
          <w:color w:val="111111"/>
        </w:rPr>
        <w:t xml:space="preserve">ort uncertainty and avoid excessive precision. Confidence intervals, bootstrap estimates, or repeated-test variation can indicate whether apparent differences are stable. Multiple comparisons and repeated </w:t>
      </w:r>
      <w:r>
        <w:rPr>
          <w:color w:val="111111"/>
        </w:rPr>
        <w:lastRenderedPageBreak/>
        <w:t>tuning on the same validation set can create optimi</w:t>
      </w:r>
      <w:r>
        <w:rPr>
          <w:color w:val="111111"/>
        </w:rPr>
        <w:t>stic findings. A protected final test set, independent replication, or temporal validation helps reduce this risk. Statistical significance should be interpreted together with operational magnitude and consequences.</w:t>
      </w:r>
    </w:p>
    <w:p w14:paraId="45BCCAD9" w14:textId="77777777" w:rsidR="001F25EE" w:rsidRDefault="00787332">
      <w:pPr>
        <w:spacing w:after="80"/>
        <w:jc w:val="both"/>
      </w:pPr>
      <w:r>
        <w:rPr>
          <w:color w:val="111111"/>
        </w:rPr>
        <w:t>Qualitative evidence can clarify failure</w:t>
      </w:r>
      <w:r>
        <w:rPr>
          <w:color w:val="111111"/>
        </w:rPr>
        <w:t>s that numeric metrics compress into a single category. Structured review of error examples, user comments, and incident narratives should identify recurring mechanisms and contextual triggers. Coding procedures need definitions and reviewer checks when qu</w:t>
      </w:r>
      <w:r>
        <w:rPr>
          <w:color w:val="111111"/>
        </w:rPr>
        <w:t>alitative categories influence design decisions. Representative examples may be reported after appropriate de-identification, while ensuring that selected examples do not replace systematic analysis of the entire evaluation set.</w:t>
      </w:r>
    </w:p>
    <w:p w14:paraId="76BED307" w14:textId="77777777" w:rsidR="001F25EE" w:rsidRDefault="00787332">
      <w:pPr>
        <w:spacing w:after="80"/>
        <w:jc w:val="both"/>
      </w:pPr>
      <w:r>
        <w:rPr>
          <w:color w:val="111111"/>
        </w:rPr>
        <w:t xml:space="preserve">Acceptance criteria should </w:t>
      </w:r>
      <w:r>
        <w:rPr>
          <w:color w:val="111111"/>
        </w:rPr>
        <w:t>be hierarchical. Critical safety, privacy, security, and data-integrity requirements must pass before optimisation of convenience or speed. Secondary targets can guide improvement but should not compensate for a failed critical control. The evaluation repo</w:t>
      </w:r>
      <w:r>
        <w:rPr>
          <w:color w:val="111111"/>
        </w:rPr>
        <w:t>rt should list every criterion, observed result, disposition, and corrective action. Conditional acceptance must identify an owner and deadline rather than remaining an indefinite exception.</w:t>
      </w:r>
    </w:p>
    <w:p w14:paraId="11B29879" w14:textId="77777777" w:rsidR="001F25EE" w:rsidRDefault="00787332">
      <w:pPr>
        <w:spacing w:after="80"/>
        <w:jc w:val="both"/>
      </w:pPr>
      <w:r>
        <w:rPr>
          <w:color w:val="111111"/>
        </w:rPr>
        <w:t>External review is valuable when the development team has made ma</w:t>
      </w:r>
      <w:r>
        <w:rPr>
          <w:color w:val="111111"/>
        </w:rPr>
        <w:t>ny interconnected design choices. Reviewers can examine whether the evidence supports the declared operating boundary, whether important comparators or risks were omitted, and whether explanations overstate certainty. External review does not transfer acco</w:t>
      </w:r>
      <w:r>
        <w:rPr>
          <w:color w:val="111111"/>
        </w:rPr>
        <w:t>untability away from the deploying organisation, but it can expose assumptions that have become normalised within the project team.</w:t>
      </w:r>
    </w:p>
    <w:p w14:paraId="0B902736" w14:textId="77777777" w:rsidR="001F25EE" w:rsidRDefault="00787332">
      <w:pPr>
        <w:spacing w:after="80"/>
        <w:jc w:val="both"/>
      </w:pPr>
      <w:r>
        <w:rPr>
          <w:color w:val="111111"/>
        </w:rPr>
        <w:t>The service workflow should define how outputs reach older adults, caregivers, security engineers, speech researchers, digit</w:t>
      </w:r>
      <w:r>
        <w:rPr>
          <w:color w:val="111111"/>
        </w:rPr>
        <w:t>al-assistant providers, and privacy officers, how acknowledgement is recorded, and what happens when an output is not reviewed in time. Queue prioritisation, escalation timing, workload limits, and handover procedures can materially affect outcomes even wh</w:t>
      </w:r>
      <w:r>
        <w:rPr>
          <w:color w:val="111111"/>
        </w:rPr>
        <w:t>en the analytical component performs as specified. Operational validation should therefore measure the complete pathway from input acquisition to documented action, not only computation in isolation.</w:t>
      </w:r>
    </w:p>
    <w:p w14:paraId="343D0082" w14:textId="77777777" w:rsidR="001F25EE" w:rsidRDefault="00787332">
      <w:pPr>
        <w:spacing w:after="80"/>
        <w:jc w:val="both"/>
      </w:pPr>
      <w:r>
        <w:rPr>
          <w:color w:val="111111"/>
        </w:rPr>
        <w:t>Documentation should be layered for different audiences.</w:t>
      </w:r>
      <w:r>
        <w:rPr>
          <w:color w:val="111111"/>
        </w:rPr>
        <w:t xml:space="preserve"> A concise user guide explains purpose, limitations, routine tasks, warnings, and support. A reviewer guide explains interpretation and escalation. A technical manual records architecture, installation, configuration, interfaces, monitoring, backup, and re</w:t>
      </w:r>
      <w:r>
        <w:rPr>
          <w:color w:val="111111"/>
        </w:rPr>
        <w:t>covery. A governance file records approvals, risk decisions, incident procedures, and change control. Inconsistencies among these documents should block release until corrected.</w:t>
      </w:r>
    </w:p>
    <w:p w14:paraId="2349566B" w14:textId="77777777" w:rsidR="001F25EE" w:rsidRDefault="00787332">
      <w:pPr>
        <w:spacing w:after="80"/>
        <w:jc w:val="both"/>
      </w:pPr>
      <w:r>
        <w:rPr>
          <w:color w:val="111111"/>
        </w:rPr>
        <w:t>Sustainability also depends on data stewardship. The organisation should deter</w:t>
      </w:r>
      <w:r>
        <w:rPr>
          <w:color w:val="111111"/>
        </w:rPr>
        <w:t>mine who can correct records, how corrections propagate to derived outputs, how archived versions remain interpretable, and when data should be destroyed. Long-term access to a file is not equivalent to preservation if formats, software, schemas, or contex</w:t>
      </w:r>
      <w:r>
        <w:rPr>
          <w:color w:val="111111"/>
        </w:rPr>
        <w:t>tual definitions are lost. Periodic restoration and migration tests should be part of maintenance.</w:t>
      </w:r>
    </w:p>
    <w:p w14:paraId="4F84FC85" w14:textId="77777777" w:rsidR="001F25EE" w:rsidRDefault="00787332">
      <w:pPr>
        <w:spacing w:after="80"/>
        <w:jc w:val="both"/>
      </w:pPr>
      <w:r>
        <w:rPr>
          <w:color w:val="111111"/>
        </w:rPr>
        <w:t>Decommissioning criteria should be planned before deployment. A system may need retirement because dependencies are unsupported, performance drifts beyond co</w:t>
      </w:r>
      <w:r>
        <w:rPr>
          <w:color w:val="111111"/>
        </w:rPr>
        <w:t>rrection, the purpose changes, risks become unacceptable, or a superior process replaces it. Decommissioning must preserve required records, revoke access, remove credentials, communicate changes, and provide continuity for users. Without such planning, ob</w:t>
      </w:r>
      <w:r>
        <w:rPr>
          <w:color w:val="111111"/>
        </w:rPr>
        <w:t>solete components can remain active and create hidden operational or security exposure.</w:t>
      </w:r>
    </w:p>
    <w:p w14:paraId="3BD85641" w14:textId="77777777" w:rsidR="001F25EE" w:rsidRDefault="00787332">
      <w:pPr>
        <w:spacing w:after="80"/>
        <w:jc w:val="both"/>
      </w:pPr>
      <w:r>
        <w:rPr>
          <w:color w:val="111111"/>
        </w:rPr>
        <w:t>The proposed framework should ultimately be judged by whether it enables disciplined learning. Monitoring and incident analysis should feed a controlled improvement cyc</w:t>
      </w:r>
      <w:r>
        <w:rPr>
          <w:color w:val="111111"/>
        </w:rPr>
        <w:t>le: detect a problem, investigate its cause, define a corrective action, test the change, obtain approval, deploy gradually, and verify effectiveness. This cycle converts operational experience into evidence while preventing rapid untested modifications fr</w:t>
      </w:r>
      <w:r>
        <w:rPr>
          <w:color w:val="111111"/>
        </w:rPr>
        <w:t>om undermining comparability, safety, or accountability.</w:t>
      </w:r>
    </w:p>
    <w:p w14:paraId="7571D094" w14:textId="77777777" w:rsidR="001F25EE" w:rsidRDefault="00787332">
      <w:pPr>
        <w:spacing w:after="80"/>
        <w:jc w:val="both"/>
      </w:pPr>
      <w:r>
        <w:rPr>
          <w:color w:val="111111"/>
        </w:rPr>
        <w:t xml:space="preserve">Decision accountability should remain visible across organisational boundaries. When vendors provide devices, algorithms, hosting, or support, contracts should specify access to technical </w:t>
      </w:r>
      <w:r>
        <w:rPr>
          <w:color w:val="111111"/>
        </w:rPr>
        <w:t xml:space="preserve">evidence, notification of material changes, vulnerability handling, data-return procedures, and assistance during incidents. Procurement teams should evaluate maintainability and auditability alongside advertised performance. Proprietary restrictions that </w:t>
      </w:r>
      <w:r>
        <w:rPr>
          <w:color w:val="111111"/>
        </w:rPr>
        <w:t>prevent meaningful validation should be treated as a deployment risk rather than as a minor commercial detail.</w:t>
      </w:r>
    </w:p>
    <w:p w14:paraId="2A5BBD38" w14:textId="77777777" w:rsidR="001F25EE" w:rsidRDefault="00787332">
      <w:pPr>
        <w:spacing w:after="80"/>
        <w:jc w:val="both"/>
      </w:pPr>
      <w:r>
        <w:rPr>
          <w:color w:val="111111"/>
        </w:rPr>
        <w:t>Environmental and infrastructure constraints should be captured during requirements analysis. Power stability, network coverage, device replaceme</w:t>
      </w:r>
      <w:r>
        <w:rPr>
          <w:color w:val="111111"/>
        </w:rPr>
        <w:t>nt cycles, physical workspace, noise, lighting, and availability of skilled support may determine whether laboratory performance is transferable. Field tests should record these conditions systematically. If the system requires resources unavailable in the</w:t>
      </w:r>
      <w:r>
        <w:rPr>
          <w:color w:val="111111"/>
        </w:rPr>
        <w:t xml:space="preserve"> intended setting, the design should be simplified or the operating boundary narrowed before users become dependent on an unreliable service.</w:t>
      </w:r>
    </w:p>
    <w:p w14:paraId="1C76E623" w14:textId="77777777" w:rsidR="001F25EE" w:rsidRDefault="00787332">
      <w:pPr>
        <w:spacing w:after="80"/>
        <w:jc w:val="both"/>
      </w:pPr>
      <w:r>
        <w:rPr>
          <w:color w:val="111111"/>
        </w:rPr>
        <w:t xml:space="preserve">Quality assurance should include routine sampling of completed cases for independent review. Sampling can combine </w:t>
      </w:r>
      <w:r>
        <w:rPr>
          <w:color w:val="111111"/>
        </w:rPr>
        <w:t xml:space="preserve">random selection with targeted review of warnings, overrides, edge cases, and high-consequence outcomes. Findings should feed calibration, training, interface, and process improvements. Reviewers need protection from hindsight bias: they should assess the </w:t>
      </w:r>
      <w:r>
        <w:rPr>
          <w:color w:val="111111"/>
        </w:rPr>
        <w:t>evidence that was available at the decision time, then separately examine later information that reveals the outcome.</w:t>
      </w:r>
    </w:p>
    <w:p w14:paraId="1867898F" w14:textId="77777777" w:rsidR="001F25EE" w:rsidRDefault="00787332">
      <w:pPr>
        <w:spacing w:after="80"/>
        <w:jc w:val="both"/>
      </w:pPr>
      <w:r>
        <w:rPr>
          <w:color w:val="111111"/>
        </w:rPr>
        <w:lastRenderedPageBreak/>
        <w:t>Communication of limitations should be concrete and action-oriented. Statements such as ‘results may vary’ provide little protection. User</w:t>
      </w:r>
      <w:r>
        <w:rPr>
          <w:color w:val="111111"/>
        </w:rPr>
        <w:t>s need to know which inputs, populations, devices, environments, or attack types were not validated; which warnings require escalation; and which decisions must not rely on the system alone. Limitations should appear at relevant interaction points and in r</w:t>
      </w:r>
      <w:r>
        <w:rPr>
          <w:color w:val="111111"/>
        </w:rPr>
        <w:t>eports, not only in a long policy page that routine users rarely consult.</w:t>
      </w:r>
    </w:p>
    <w:p w14:paraId="5714F94E" w14:textId="77777777" w:rsidR="001F25EE" w:rsidRDefault="00787332">
      <w:pPr>
        <w:spacing w:after="80"/>
        <w:jc w:val="both"/>
      </w:pPr>
      <w:r>
        <w:rPr>
          <w:color w:val="111111"/>
        </w:rPr>
        <w:t xml:space="preserve">The research record should preserve unsuccessful configurations and reasons for rejection. Failed approaches can reveal sensitivity to assumptions, prevent repetition of </w:t>
      </w:r>
      <w:r>
        <w:rPr>
          <w:color w:val="111111"/>
        </w:rPr>
        <w:t>ineffective work, and demonstrate that the final design was not selected through undisclosed trial and error. Where full artefact sharing is restricted, researchers can still report configuration ranges, test logic, summary failures, and reproducibility in</w:t>
      </w:r>
      <w:r>
        <w:rPr>
          <w:color w:val="111111"/>
        </w:rPr>
        <w:t>structions without disclosing protected or sensitive source material.</w:t>
      </w:r>
    </w:p>
    <w:p w14:paraId="5AAD14AE" w14:textId="77777777" w:rsidR="001F25EE" w:rsidRDefault="00787332">
      <w:pPr>
        <w:spacing w:after="80"/>
        <w:jc w:val="both"/>
      </w:pPr>
      <w:r>
        <w:rPr>
          <w:color w:val="111111"/>
        </w:rPr>
        <w:t>Before publication or operational release, terminology should be reviewed for consistency across the manuscript, software, interface, and training materials. Terms such as detection, aut</w:t>
      </w:r>
      <w:r>
        <w:rPr>
          <w:color w:val="111111"/>
        </w:rPr>
        <w:t xml:space="preserve">hentication, prediction, indication, recommendation, and diagnosis carry different evidentiary meanings. Using them interchangeably can create claims that exceed the validated function. A controlled glossary and editorial review help ensure that technical </w:t>
      </w:r>
      <w:r>
        <w:rPr>
          <w:color w:val="111111"/>
        </w:rPr>
        <w:t>precision is maintained when results are communicated to non-specialist audiences.</w:t>
      </w:r>
    </w:p>
    <w:p w14:paraId="3CFF2DE7" w14:textId="77777777" w:rsidR="001F25EE" w:rsidRDefault="00787332">
      <w:pPr>
        <w:pStyle w:val="JASTEH1"/>
      </w:pPr>
      <w:r>
        <w:t>7. STAKEHOLDER AND HUMAN-CENTRED REQUIREMENTS</w:t>
      </w:r>
    </w:p>
    <w:p w14:paraId="2490D6D4" w14:textId="77777777" w:rsidR="001F25EE" w:rsidRDefault="00787332">
      <w:pPr>
        <w:spacing w:after="80"/>
        <w:jc w:val="both"/>
      </w:pPr>
      <w:r>
        <w:t>The stakeholder ecosystem includes older adults, caregivers, security engineers, speech researchers, digital-assistant provider</w:t>
      </w:r>
      <w:r>
        <w:t xml:space="preserve">s, and privacy officers. Requirements elicitation should combine interviews, task observation, scenario walkthroughs, and prototype testing. Each requirement needs an owner, acceptance criterion, priority, and verification method so that broad aspirations </w:t>
      </w:r>
      <w:r>
        <w:t>such as trust, safety, or usability become testable engineering statements. Human-centered requirements are particularly important because voice changes with ageing and health, while authentication failures may create exclusion for users who depend on hand</w:t>
      </w:r>
      <w:r>
        <w:t>s-free interaction; biometric fallback and alternative authenticators should therefore be designed from the outset (Temoshok et al., 2025).</w:t>
      </w:r>
    </w:p>
    <w:p w14:paraId="638E49AC" w14:textId="77777777" w:rsidR="001F25EE" w:rsidRDefault="00787332">
      <w:pPr>
        <w:spacing w:after="80"/>
        <w:jc w:val="both"/>
      </w:pPr>
      <w:r>
        <w:rPr>
          <w:color w:val="111111"/>
        </w:rPr>
        <w:t>User journeys should cover routine use, uncertain cases, failure recovery, withdrawal, and complaint handling. The d</w:t>
      </w:r>
      <w:r>
        <w:rPr>
          <w:color w:val="111111"/>
        </w:rPr>
        <w:t>esign team should not evaluate only the shortest successful path. People often encounter a system when evidence is incomplete, devices fail, or the recommended action conflicts with their own judgement; these situations reveal whether oversight and fallbac</w:t>
      </w:r>
      <w:r>
        <w:rPr>
          <w:color w:val="111111"/>
        </w:rPr>
        <w:t>k mechanisms are operational.</w:t>
      </w:r>
    </w:p>
    <w:p w14:paraId="64AD3056" w14:textId="77777777" w:rsidR="001F25EE" w:rsidRDefault="00787332">
      <w:pPr>
        <w:spacing w:after="80"/>
        <w:jc w:val="both"/>
      </w:pPr>
      <w:r>
        <w:rPr>
          <w:color w:val="111111"/>
        </w:rPr>
        <w:t>Accessibility assessment should include visual, hearing, motor, cognitive, language, and digital-literacy considerations relevant to the target population. Adjustable presentation, plain-language explanations, adequate contras</w:t>
      </w:r>
      <w:r>
        <w:rPr>
          <w:color w:val="111111"/>
        </w:rPr>
        <w:t>t, keyboard or assistive-technology compatibility, and alternative verification routes should be tested with representative users rather than inferred from design-team judgement.</w:t>
      </w:r>
    </w:p>
    <w:p w14:paraId="63243FD0" w14:textId="77777777" w:rsidR="001F25EE" w:rsidRDefault="00787332">
      <w:pPr>
        <w:spacing w:after="80"/>
        <w:jc w:val="both"/>
      </w:pPr>
      <w:r>
        <w:rPr>
          <w:color w:val="111111"/>
        </w:rPr>
        <w:t>Acceptance should not be equated with trust or safety. Users may accept a sys</w:t>
      </w:r>
      <w:r>
        <w:rPr>
          <w:color w:val="111111"/>
        </w:rPr>
        <w:t>tem because it is mandatory, convenient, or presented as authoritative. Evaluation should therefore distinguish adoption intention, task performance, correct understanding, appropriate reliance, and the ability to challenge or bypass an incorrect recommend</w:t>
      </w:r>
      <w:r>
        <w:rPr>
          <w:color w:val="111111"/>
        </w:rPr>
        <w:t>ation.</w:t>
      </w:r>
    </w:p>
    <w:p w14:paraId="00B0EFF9" w14:textId="77777777" w:rsidR="001F25EE" w:rsidRDefault="00787332">
      <w:pPr>
        <w:spacing w:before="100" w:after="60"/>
        <w:jc w:val="center"/>
      </w:pPr>
      <w:r>
        <w:rPr>
          <w:b/>
          <w:color w:val="111111"/>
          <w:sz w:val="18"/>
        </w:rPr>
        <w:t>Table 6. Stakeholder Requirement Matrix</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213"/>
        <w:gridCol w:w="3213"/>
        <w:gridCol w:w="3213"/>
      </w:tblGrid>
      <w:tr w:rsidR="001F25EE" w14:paraId="65D1B03D" w14:textId="77777777">
        <w:trPr>
          <w:jc w:val="center"/>
        </w:trPr>
        <w:tc>
          <w:tcPr>
            <w:tcW w:w="3213" w:type="dxa"/>
            <w:shd w:val="clear" w:color="auto" w:fill="2F66B3"/>
          </w:tcPr>
          <w:p w14:paraId="1EF2DC08" w14:textId="77777777" w:rsidR="001F25EE" w:rsidRDefault="00787332">
            <w:pPr>
              <w:jc w:val="center"/>
            </w:pPr>
            <w:r>
              <w:rPr>
                <w:b/>
                <w:color w:val="FFFFFF"/>
                <w:sz w:val="15"/>
              </w:rPr>
              <w:t>Stakeholder</w:t>
            </w:r>
          </w:p>
        </w:tc>
        <w:tc>
          <w:tcPr>
            <w:tcW w:w="3213" w:type="dxa"/>
            <w:shd w:val="clear" w:color="auto" w:fill="2F66B3"/>
          </w:tcPr>
          <w:p w14:paraId="65EFD7B3" w14:textId="77777777" w:rsidR="001F25EE" w:rsidRDefault="00787332">
            <w:pPr>
              <w:jc w:val="center"/>
            </w:pPr>
            <w:r>
              <w:rPr>
                <w:b/>
                <w:color w:val="FFFFFF"/>
                <w:sz w:val="15"/>
              </w:rPr>
              <w:t>Primary need</w:t>
            </w:r>
          </w:p>
        </w:tc>
        <w:tc>
          <w:tcPr>
            <w:tcW w:w="3213" w:type="dxa"/>
            <w:shd w:val="clear" w:color="auto" w:fill="2F66B3"/>
          </w:tcPr>
          <w:p w14:paraId="3D32ED98" w14:textId="77777777" w:rsidR="001F25EE" w:rsidRDefault="00787332">
            <w:pPr>
              <w:jc w:val="center"/>
            </w:pPr>
            <w:r>
              <w:rPr>
                <w:b/>
                <w:color w:val="FFFFFF"/>
                <w:sz w:val="15"/>
              </w:rPr>
              <w:t>Verification</w:t>
            </w:r>
          </w:p>
        </w:tc>
      </w:tr>
      <w:tr w:rsidR="001F25EE" w14:paraId="6F7B089A" w14:textId="77777777">
        <w:trPr>
          <w:jc w:val="center"/>
        </w:trPr>
        <w:tc>
          <w:tcPr>
            <w:tcW w:w="3213" w:type="dxa"/>
            <w:vAlign w:val="center"/>
          </w:tcPr>
          <w:p w14:paraId="38631410" w14:textId="77777777" w:rsidR="001F25EE" w:rsidRDefault="00787332">
            <w:pPr>
              <w:spacing w:after="0"/>
            </w:pPr>
            <w:r>
              <w:rPr>
                <w:color w:val="111111"/>
                <w:sz w:val="15"/>
              </w:rPr>
              <w:t>older adults</w:t>
            </w:r>
          </w:p>
        </w:tc>
        <w:tc>
          <w:tcPr>
            <w:tcW w:w="3213" w:type="dxa"/>
            <w:vAlign w:val="center"/>
          </w:tcPr>
          <w:p w14:paraId="4C0585F9" w14:textId="77777777" w:rsidR="001F25EE" w:rsidRDefault="00787332">
            <w:pPr>
              <w:spacing w:after="0"/>
            </w:pPr>
            <w:r>
              <w:rPr>
                <w:color w:val="111111"/>
                <w:sz w:val="15"/>
              </w:rPr>
              <w:t>Accessible and understandable interaction</w:t>
            </w:r>
          </w:p>
        </w:tc>
        <w:tc>
          <w:tcPr>
            <w:tcW w:w="3213" w:type="dxa"/>
            <w:vAlign w:val="center"/>
          </w:tcPr>
          <w:p w14:paraId="0AF18B56" w14:textId="77777777" w:rsidR="001F25EE" w:rsidRDefault="00787332">
            <w:pPr>
              <w:spacing w:after="0"/>
            </w:pPr>
            <w:r>
              <w:rPr>
                <w:color w:val="111111"/>
                <w:sz w:val="15"/>
              </w:rPr>
              <w:t>Observed representative tasks</w:t>
            </w:r>
          </w:p>
        </w:tc>
      </w:tr>
      <w:tr w:rsidR="001F25EE" w14:paraId="62E1423B" w14:textId="77777777">
        <w:trPr>
          <w:jc w:val="center"/>
        </w:trPr>
        <w:tc>
          <w:tcPr>
            <w:tcW w:w="3213" w:type="dxa"/>
            <w:vAlign w:val="center"/>
          </w:tcPr>
          <w:p w14:paraId="5E05FC25" w14:textId="77777777" w:rsidR="001F25EE" w:rsidRDefault="00787332">
            <w:pPr>
              <w:spacing w:after="0"/>
            </w:pPr>
            <w:r>
              <w:rPr>
                <w:color w:val="111111"/>
                <w:sz w:val="15"/>
              </w:rPr>
              <w:t>Domain reviewer</w:t>
            </w:r>
          </w:p>
        </w:tc>
        <w:tc>
          <w:tcPr>
            <w:tcW w:w="3213" w:type="dxa"/>
            <w:vAlign w:val="center"/>
          </w:tcPr>
          <w:p w14:paraId="26A70F8E" w14:textId="77777777" w:rsidR="001F25EE" w:rsidRDefault="00787332">
            <w:pPr>
              <w:spacing w:after="0"/>
            </w:pPr>
            <w:r>
              <w:rPr>
                <w:color w:val="111111"/>
                <w:sz w:val="15"/>
              </w:rPr>
              <w:t>Interpretable evidence and escalation</w:t>
            </w:r>
          </w:p>
        </w:tc>
        <w:tc>
          <w:tcPr>
            <w:tcW w:w="3213" w:type="dxa"/>
            <w:vAlign w:val="center"/>
          </w:tcPr>
          <w:p w14:paraId="720C7494" w14:textId="77777777" w:rsidR="001F25EE" w:rsidRDefault="00787332">
            <w:pPr>
              <w:spacing w:after="0"/>
            </w:pPr>
            <w:r>
              <w:rPr>
                <w:color w:val="111111"/>
                <w:sz w:val="15"/>
              </w:rPr>
              <w:t>Scenario-based review</w:t>
            </w:r>
          </w:p>
        </w:tc>
      </w:tr>
      <w:tr w:rsidR="001F25EE" w14:paraId="109EA6E2" w14:textId="77777777">
        <w:trPr>
          <w:jc w:val="center"/>
        </w:trPr>
        <w:tc>
          <w:tcPr>
            <w:tcW w:w="3213" w:type="dxa"/>
            <w:vAlign w:val="center"/>
          </w:tcPr>
          <w:p w14:paraId="76B6C3FF" w14:textId="77777777" w:rsidR="001F25EE" w:rsidRDefault="00787332">
            <w:pPr>
              <w:spacing w:after="0"/>
            </w:pPr>
            <w:r>
              <w:rPr>
                <w:color w:val="111111"/>
                <w:sz w:val="15"/>
              </w:rPr>
              <w:t>Administrator</w:t>
            </w:r>
          </w:p>
        </w:tc>
        <w:tc>
          <w:tcPr>
            <w:tcW w:w="3213" w:type="dxa"/>
            <w:vAlign w:val="center"/>
          </w:tcPr>
          <w:p w14:paraId="5C8A036C" w14:textId="77777777" w:rsidR="001F25EE" w:rsidRDefault="00787332">
            <w:pPr>
              <w:spacing w:after="0"/>
            </w:pPr>
            <w:r>
              <w:rPr>
                <w:color w:val="111111"/>
                <w:sz w:val="15"/>
              </w:rPr>
              <w:t>Accountability and maintainability</w:t>
            </w:r>
          </w:p>
        </w:tc>
        <w:tc>
          <w:tcPr>
            <w:tcW w:w="3213" w:type="dxa"/>
            <w:vAlign w:val="center"/>
          </w:tcPr>
          <w:p w14:paraId="35B234C1" w14:textId="77777777" w:rsidR="001F25EE" w:rsidRDefault="00787332">
            <w:pPr>
              <w:spacing w:after="0"/>
            </w:pPr>
            <w:r>
              <w:rPr>
                <w:color w:val="111111"/>
                <w:sz w:val="15"/>
              </w:rPr>
              <w:t>Audit and recovery test</w:t>
            </w:r>
          </w:p>
        </w:tc>
      </w:tr>
      <w:tr w:rsidR="001F25EE" w14:paraId="10FBBCDA" w14:textId="77777777">
        <w:trPr>
          <w:jc w:val="center"/>
        </w:trPr>
        <w:tc>
          <w:tcPr>
            <w:tcW w:w="3213" w:type="dxa"/>
            <w:vAlign w:val="center"/>
          </w:tcPr>
          <w:p w14:paraId="3174EC9E" w14:textId="77777777" w:rsidR="001F25EE" w:rsidRDefault="00787332">
            <w:pPr>
              <w:spacing w:after="0"/>
            </w:pPr>
            <w:r>
              <w:rPr>
                <w:color w:val="111111"/>
                <w:sz w:val="15"/>
              </w:rPr>
              <w:t>Developer</w:t>
            </w:r>
          </w:p>
        </w:tc>
        <w:tc>
          <w:tcPr>
            <w:tcW w:w="3213" w:type="dxa"/>
            <w:vAlign w:val="center"/>
          </w:tcPr>
          <w:p w14:paraId="6DA62BEF" w14:textId="77777777" w:rsidR="001F25EE" w:rsidRDefault="00787332">
            <w:pPr>
              <w:spacing w:after="0"/>
            </w:pPr>
            <w:r>
              <w:rPr>
                <w:color w:val="111111"/>
                <w:sz w:val="15"/>
              </w:rPr>
              <w:t>Traceable and testable specifications</w:t>
            </w:r>
          </w:p>
        </w:tc>
        <w:tc>
          <w:tcPr>
            <w:tcW w:w="3213" w:type="dxa"/>
            <w:vAlign w:val="center"/>
          </w:tcPr>
          <w:p w14:paraId="1AF0550E" w14:textId="77777777" w:rsidR="001F25EE" w:rsidRDefault="00787332">
            <w:pPr>
              <w:spacing w:after="0"/>
            </w:pPr>
            <w:r>
              <w:rPr>
                <w:color w:val="111111"/>
                <w:sz w:val="15"/>
              </w:rPr>
              <w:t>Requirements coverage</w:t>
            </w:r>
          </w:p>
        </w:tc>
      </w:tr>
    </w:tbl>
    <w:p w14:paraId="2488A49B" w14:textId="77777777" w:rsidR="001F25EE" w:rsidRDefault="00787332">
      <w:pPr>
        <w:pStyle w:val="JASTEH1"/>
      </w:pPr>
      <w:r>
        <w:t>8. IMPLEMENTATION AND OPERATIONAL ROADMAP</w:t>
      </w:r>
    </w:p>
    <w:p w14:paraId="291F84A2" w14:textId="77777777" w:rsidR="001F25EE" w:rsidRDefault="00787332">
      <w:pPr>
        <w:spacing w:after="80"/>
        <w:jc w:val="both"/>
      </w:pPr>
      <w:r>
        <w:t>The proposed deployment model is a privacy-preserving multimodal serv</w:t>
      </w:r>
      <w:r>
        <w:t xml:space="preserve">ice with secure templates, challenge variation, calibrated decisions, accessible fallback, incident logging, and continuous attack evaluation. Implementation should proceed from offline verification to a limited pilot, supervised operational use, and only </w:t>
      </w:r>
      <w:r>
        <w:t>then broader release. Each stage needs entry and exit criteria covering technical performance, safety, usability, training, support capacity, and unresolved risks. The rollout sequence should retain voice as one risk signal within a multifactor process, no</w:t>
      </w:r>
      <w:r>
        <w:t>t as a standalone authenticator, and should provide a non-biometric alternative (Temoshok et al., 2025).</w:t>
      </w:r>
    </w:p>
    <w:p w14:paraId="393008C7" w14:textId="77777777" w:rsidR="001F25EE" w:rsidRDefault="00787332">
      <w:pPr>
        <w:spacing w:after="80"/>
        <w:jc w:val="both"/>
      </w:pPr>
      <w:r>
        <w:rPr>
          <w:color w:val="111111"/>
        </w:rPr>
        <w:t>Operational monitoring should distinguish service health from decision quality. Availability, latency, battery use, failed uploads, and processing erro</w:t>
      </w:r>
      <w:r>
        <w:rPr>
          <w:color w:val="111111"/>
        </w:rPr>
        <w:t>rs describe service health; calibration drift, false-alert patterns, reviewer overrides, user complaints, and subgroup disparities describe decision quality. Both categories require dashboards and predefined investigation thresholds.</w:t>
      </w:r>
    </w:p>
    <w:p w14:paraId="02CD908A" w14:textId="77777777" w:rsidR="001F25EE" w:rsidRDefault="00787332">
      <w:pPr>
        <w:spacing w:before="100" w:after="60"/>
        <w:jc w:val="center"/>
      </w:pPr>
      <w:r>
        <w:rPr>
          <w:b/>
          <w:color w:val="111111"/>
          <w:sz w:val="18"/>
        </w:rPr>
        <w:t xml:space="preserve">Table 7. Staged </w:t>
      </w:r>
      <w:r>
        <w:rPr>
          <w:b/>
          <w:color w:val="111111"/>
          <w:sz w:val="18"/>
        </w:rPr>
        <w:t>Implementation Roadmap</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213"/>
        <w:gridCol w:w="3213"/>
        <w:gridCol w:w="3213"/>
      </w:tblGrid>
      <w:tr w:rsidR="001F25EE" w14:paraId="2B4E030B" w14:textId="77777777">
        <w:trPr>
          <w:jc w:val="center"/>
        </w:trPr>
        <w:tc>
          <w:tcPr>
            <w:tcW w:w="3213" w:type="dxa"/>
            <w:shd w:val="clear" w:color="auto" w:fill="2F66B3"/>
          </w:tcPr>
          <w:p w14:paraId="232EB43C" w14:textId="77777777" w:rsidR="001F25EE" w:rsidRDefault="00787332">
            <w:pPr>
              <w:jc w:val="center"/>
            </w:pPr>
            <w:r>
              <w:rPr>
                <w:b/>
                <w:color w:val="FFFFFF"/>
                <w:sz w:val="15"/>
              </w:rPr>
              <w:t>Stage</w:t>
            </w:r>
          </w:p>
        </w:tc>
        <w:tc>
          <w:tcPr>
            <w:tcW w:w="3213" w:type="dxa"/>
            <w:shd w:val="clear" w:color="auto" w:fill="2F66B3"/>
          </w:tcPr>
          <w:p w14:paraId="51C51AD2" w14:textId="77777777" w:rsidR="001F25EE" w:rsidRDefault="00787332">
            <w:pPr>
              <w:jc w:val="center"/>
            </w:pPr>
            <w:r>
              <w:rPr>
                <w:b/>
                <w:color w:val="FFFFFF"/>
                <w:sz w:val="15"/>
              </w:rPr>
              <w:t>Purpose</w:t>
            </w:r>
          </w:p>
        </w:tc>
        <w:tc>
          <w:tcPr>
            <w:tcW w:w="3213" w:type="dxa"/>
            <w:shd w:val="clear" w:color="auto" w:fill="2F66B3"/>
          </w:tcPr>
          <w:p w14:paraId="11A2BD8A" w14:textId="77777777" w:rsidR="001F25EE" w:rsidRDefault="00787332">
            <w:pPr>
              <w:jc w:val="center"/>
            </w:pPr>
            <w:r>
              <w:rPr>
                <w:b/>
                <w:color w:val="FFFFFF"/>
                <w:sz w:val="15"/>
              </w:rPr>
              <w:t>Exit criterion</w:t>
            </w:r>
          </w:p>
        </w:tc>
      </w:tr>
      <w:tr w:rsidR="001F25EE" w14:paraId="055AC3CB" w14:textId="77777777">
        <w:trPr>
          <w:jc w:val="center"/>
        </w:trPr>
        <w:tc>
          <w:tcPr>
            <w:tcW w:w="3213" w:type="dxa"/>
            <w:vAlign w:val="center"/>
          </w:tcPr>
          <w:p w14:paraId="6AD78167" w14:textId="77777777" w:rsidR="001F25EE" w:rsidRDefault="00787332">
            <w:pPr>
              <w:spacing w:after="0"/>
            </w:pPr>
            <w:r>
              <w:rPr>
                <w:color w:val="111111"/>
                <w:sz w:val="15"/>
              </w:rPr>
              <w:t>Offline verification</w:t>
            </w:r>
          </w:p>
        </w:tc>
        <w:tc>
          <w:tcPr>
            <w:tcW w:w="3213" w:type="dxa"/>
            <w:vAlign w:val="center"/>
          </w:tcPr>
          <w:p w14:paraId="688C4666" w14:textId="77777777" w:rsidR="001F25EE" w:rsidRDefault="00787332">
            <w:pPr>
              <w:spacing w:after="0"/>
            </w:pPr>
            <w:r>
              <w:rPr>
                <w:color w:val="111111"/>
                <w:sz w:val="15"/>
              </w:rPr>
              <w:t>Check component correctness and reproducibility</w:t>
            </w:r>
          </w:p>
        </w:tc>
        <w:tc>
          <w:tcPr>
            <w:tcW w:w="3213" w:type="dxa"/>
            <w:vAlign w:val="center"/>
          </w:tcPr>
          <w:p w14:paraId="6875AC2A" w14:textId="77777777" w:rsidR="001F25EE" w:rsidRDefault="00787332">
            <w:pPr>
              <w:spacing w:after="0"/>
            </w:pPr>
            <w:r>
              <w:rPr>
                <w:color w:val="111111"/>
                <w:sz w:val="15"/>
              </w:rPr>
              <w:t>Documented pass/fail evidence</w:t>
            </w:r>
          </w:p>
        </w:tc>
      </w:tr>
      <w:tr w:rsidR="001F25EE" w14:paraId="7AA866F3" w14:textId="77777777">
        <w:trPr>
          <w:jc w:val="center"/>
        </w:trPr>
        <w:tc>
          <w:tcPr>
            <w:tcW w:w="3213" w:type="dxa"/>
            <w:vAlign w:val="center"/>
          </w:tcPr>
          <w:p w14:paraId="0615F1E1" w14:textId="77777777" w:rsidR="001F25EE" w:rsidRDefault="00787332">
            <w:pPr>
              <w:spacing w:after="0"/>
            </w:pPr>
            <w:r>
              <w:rPr>
                <w:color w:val="111111"/>
                <w:sz w:val="15"/>
              </w:rPr>
              <w:t>Limited pilot</w:t>
            </w:r>
          </w:p>
        </w:tc>
        <w:tc>
          <w:tcPr>
            <w:tcW w:w="3213" w:type="dxa"/>
            <w:vAlign w:val="center"/>
          </w:tcPr>
          <w:p w14:paraId="12ED01E2" w14:textId="77777777" w:rsidR="001F25EE" w:rsidRDefault="00787332">
            <w:pPr>
              <w:spacing w:after="0"/>
            </w:pPr>
            <w:r>
              <w:rPr>
                <w:color w:val="111111"/>
                <w:sz w:val="15"/>
              </w:rPr>
              <w:t>Assess usability, workflow, and safety</w:t>
            </w:r>
          </w:p>
        </w:tc>
        <w:tc>
          <w:tcPr>
            <w:tcW w:w="3213" w:type="dxa"/>
            <w:vAlign w:val="center"/>
          </w:tcPr>
          <w:p w14:paraId="296DF6F9" w14:textId="77777777" w:rsidR="001F25EE" w:rsidRDefault="00787332">
            <w:pPr>
              <w:spacing w:after="0"/>
            </w:pPr>
            <w:r>
              <w:rPr>
                <w:color w:val="111111"/>
                <w:sz w:val="15"/>
              </w:rPr>
              <w:t>Resolved critical issues</w:t>
            </w:r>
          </w:p>
        </w:tc>
      </w:tr>
      <w:tr w:rsidR="001F25EE" w14:paraId="4AF2336F" w14:textId="77777777">
        <w:trPr>
          <w:jc w:val="center"/>
        </w:trPr>
        <w:tc>
          <w:tcPr>
            <w:tcW w:w="3213" w:type="dxa"/>
            <w:vAlign w:val="center"/>
          </w:tcPr>
          <w:p w14:paraId="298276D5" w14:textId="77777777" w:rsidR="001F25EE" w:rsidRDefault="00787332">
            <w:pPr>
              <w:spacing w:after="0"/>
            </w:pPr>
            <w:r>
              <w:rPr>
                <w:color w:val="111111"/>
                <w:sz w:val="15"/>
              </w:rPr>
              <w:lastRenderedPageBreak/>
              <w:t xml:space="preserve">Supervised </w:t>
            </w:r>
            <w:r>
              <w:rPr>
                <w:color w:val="111111"/>
                <w:sz w:val="15"/>
              </w:rPr>
              <w:t>operation</w:t>
            </w:r>
          </w:p>
        </w:tc>
        <w:tc>
          <w:tcPr>
            <w:tcW w:w="3213" w:type="dxa"/>
            <w:vAlign w:val="center"/>
          </w:tcPr>
          <w:p w14:paraId="0D159B47" w14:textId="77777777" w:rsidR="001F25EE" w:rsidRDefault="00787332">
            <w:pPr>
              <w:spacing w:after="0"/>
            </w:pPr>
            <w:r>
              <w:rPr>
                <w:color w:val="111111"/>
                <w:sz w:val="15"/>
              </w:rPr>
              <w:t>Monitor real-world errors and overrides</w:t>
            </w:r>
          </w:p>
        </w:tc>
        <w:tc>
          <w:tcPr>
            <w:tcW w:w="3213" w:type="dxa"/>
            <w:vAlign w:val="center"/>
          </w:tcPr>
          <w:p w14:paraId="10F2BABA" w14:textId="77777777" w:rsidR="001F25EE" w:rsidRDefault="00787332">
            <w:pPr>
              <w:spacing w:after="0"/>
            </w:pPr>
            <w:r>
              <w:rPr>
                <w:color w:val="111111"/>
                <w:sz w:val="15"/>
              </w:rPr>
              <w:t>Stable performance within boundary</w:t>
            </w:r>
          </w:p>
        </w:tc>
      </w:tr>
      <w:tr w:rsidR="001F25EE" w14:paraId="7D0DE857" w14:textId="77777777">
        <w:trPr>
          <w:jc w:val="center"/>
        </w:trPr>
        <w:tc>
          <w:tcPr>
            <w:tcW w:w="3213" w:type="dxa"/>
            <w:vAlign w:val="center"/>
          </w:tcPr>
          <w:p w14:paraId="48ABF633" w14:textId="77777777" w:rsidR="001F25EE" w:rsidRDefault="00787332">
            <w:pPr>
              <w:spacing w:after="0"/>
            </w:pPr>
            <w:r>
              <w:rPr>
                <w:color w:val="111111"/>
                <w:sz w:val="15"/>
              </w:rPr>
              <w:t>Scaled use</w:t>
            </w:r>
          </w:p>
        </w:tc>
        <w:tc>
          <w:tcPr>
            <w:tcW w:w="3213" w:type="dxa"/>
            <w:vAlign w:val="center"/>
          </w:tcPr>
          <w:p w14:paraId="0810EA4F" w14:textId="77777777" w:rsidR="001F25EE" w:rsidRDefault="00787332">
            <w:pPr>
              <w:spacing w:after="0"/>
            </w:pPr>
            <w:r>
              <w:rPr>
                <w:color w:val="111111"/>
                <w:sz w:val="15"/>
              </w:rPr>
              <w:t>Expand only with maintenance capacity</w:t>
            </w:r>
          </w:p>
        </w:tc>
        <w:tc>
          <w:tcPr>
            <w:tcW w:w="3213" w:type="dxa"/>
            <w:vAlign w:val="center"/>
          </w:tcPr>
          <w:p w14:paraId="0BF97BC5" w14:textId="77777777" w:rsidR="001F25EE" w:rsidRDefault="00787332">
            <w:pPr>
              <w:spacing w:after="0"/>
            </w:pPr>
            <w:r>
              <w:rPr>
                <w:color w:val="111111"/>
                <w:sz w:val="15"/>
              </w:rPr>
              <w:t>Approved monitoring and incident plan</w:t>
            </w:r>
          </w:p>
        </w:tc>
      </w:tr>
    </w:tbl>
    <w:p w14:paraId="19973F27" w14:textId="77777777" w:rsidR="001F25EE" w:rsidRDefault="00787332">
      <w:pPr>
        <w:pStyle w:val="JASTEH1"/>
      </w:pPr>
      <w:r>
        <w:t>9. DISCUSSION</w:t>
      </w:r>
    </w:p>
    <w:p w14:paraId="5A5E8439" w14:textId="77777777" w:rsidR="001F25EE" w:rsidRDefault="00787332">
      <w:pPr>
        <w:spacing w:after="80"/>
        <w:jc w:val="both"/>
      </w:pPr>
      <w:r>
        <w:t xml:space="preserve">The synthesis supports a systems-engineering view of voice </w:t>
      </w:r>
      <w:r>
        <w:t>security for digital assistants used by older adults. The contribution does not rest on one algorithm or device; it arises from linking evidence quality, processing, decision design, human interaction, and governance. This position avoids a common error in</w:t>
      </w:r>
      <w:r>
        <w:t xml:space="preserve"> applied-technology studies: treating a successful technical demonstration as proof of safe and useful operation. Evidence from ASVspoof and in-the-wild evaluations supports this systems view: benchmark performance depends on attack type, channel, feature </w:t>
      </w:r>
      <w:r>
        <w:t>representation, model, and evaluation protocol (Müller et al., 2022; Todisco et al., 2019).</w:t>
      </w:r>
    </w:p>
    <w:p w14:paraId="77035C5D" w14:textId="77777777" w:rsidR="001F25EE" w:rsidRDefault="00787332">
      <w:pPr>
        <w:spacing w:after="80"/>
        <w:jc w:val="both"/>
      </w:pPr>
      <w:r>
        <w:rPr>
          <w:color w:val="111111"/>
        </w:rPr>
        <w:t>Trade-offs are unavoidable. Increasing sensitivity can raise false alarms, stricter security can reduce accessibility, richer logging can increase privacy exposure,</w:t>
      </w:r>
      <w:r>
        <w:rPr>
          <w:color w:val="111111"/>
        </w:rPr>
        <w:t xml:space="preserve"> and additional explanations can increase cognitive load. These trade-offs should be stated as design decisions with measurable consequences. The preferred configuration depends on the context and cannot be selected from a single universal accuracy target.</w:t>
      </w:r>
    </w:p>
    <w:p w14:paraId="56FB5DEF" w14:textId="77777777" w:rsidR="001F25EE" w:rsidRDefault="00787332">
      <w:pPr>
        <w:pStyle w:val="JASTEH2"/>
      </w:pPr>
      <w:r>
        <w:t>9.1 Research Agenda</w:t>
      </w:r>
    </w:p>
    <w:p w14:paraId="044F874C" w14:textId="77777777" w:rsidR="001F25EE" w:rsidRDefault="00787332">
      <w:pPr>
        <w:spacing w:after="80"/>
        <w:jc w:val="both"/>
      </w:pPr>
      <w:r>
        <w:t xml:space="preserve">Future studies should construct representative test sets, publish a preregistered evaluation protocol where feasible, compare meaningful baselines, and report negative as well as positive results. Multi-site or multi-device validation </w:t>
      </w:r>
      <w:r>
        <w:t>is particularly important when system performance depends on local language, infrastructure, workflow, or user characteristics. Cross-corpus, attack-disjoint, speaker-disjoint, and channel-shift evaluations are priorities for establishing generalization be</w:t>
      </w:r>
      <w:r>
        <w:t>yond a single benchmark (Kawa et al., 2022; Müller et al., 2022).</w:t>
      </w:r>
    </w:p>
    <w:p w14:paraId="7A06308B" w14:textId="77777777" w:rsidR="001F25EE" w:rsidRDefault="00787332">
      <w:pPr>
        <w:pStyle w:val="JASTEH1"/>
      </w:pPr>
      <w:r>
        <w:t>10. LIMITATIONS AND FUTURE WORK</w:t>
      </w:r>
    </w:p>
    <w:p w14:paraId="5A813EB4" w14:textId="77777777" w:rsidR="001F25EE" w:rsidRDefault="00787332">
      <w:pPr>
        <w:spacing w:after="80"/>
        <w:jc w:val="both"/>
      </w:pPr>
      <w:r>
        <w:rPr>
          <w:color w:val="111111"/>
        </w:rPr>
        <w:t>This review is narrative and design-oriented. It does not claim exhaustive retrieval, formal meta-analysis, or a completed risk certification. The heterogenei</w:t>
      </w:r>
      <w:r>
        <w:rPr>
          <w:color w:val="111111"/>
        </w:rPr>
        <w:t>ty of technical tasks and evaluation settings limits direct comparison across sources. Some implementation requirements are therefore conservative design recommendations that must be tested empirically.</w:t>
      </w:r>
    </w:p>
    <w:p w14:paraId="2B4F631F" w14:textId="77777777" w:rsidR="001F25EE" w:rsidRDefault="00787332">
      <w:pPr>
        <w:spacing w:after="80"/>
        <w:jc w:val="both"/>
      </w:pPr>
      <w:r>
        <w:rPr>
          <w:color w:val="111111"/>
        </w:rPr>
        <w:t xml:space="preserve">The proposed architecture intentionally </w:t>
      </w:r>
      <w:r>
        <w:rPr>
          <w:color w:val="111111"/>
        </w:rPr>
        <w:t>remains technology-neutral at interfaces where products and standards can change. This improves transferability but leaves choices such as device model, software stack, database, algorithm family, and hosting arrangement to the implementation team. Those c</w:t>
      </w:r>
      <w:r>
        <w:rPr>
          <w:color w:val="111111"/>
        </w:rPr>
        <w:t>hoices can materially affect cost, privacy, latency, maintainability, and performance.</w:t>
      </w:r>
    </w:p>
    <w:p w14:paraId="1F9A6D09" w14:textId="77777777" w:rsidR="001F25EE" w:rsidRDefault="00787332">
      <w:pPr>
        <w:spacing w:after="80"/>
        <w:jc w:val="both"/>
      </w:pPr>
      <w:r>
        <w:rPr>
          <w:color w:val="111111"/>
        </w:rPr>
        <w:t>The most urgent next step is a transparent prototype of a layered deepfake-voice-resilient authentication architecture followed by controlled testing and a supervised fi</w:t>
      </w:r>
      <w:r>
        <w:rPr>
          <w:color w:val="111111"/>
        </w:rPr>
        <w:t>eld pilot. Evaluation must include the failure modes described in the risk register, not only routine successful cases. Independent replication and external review would strengthen confidence before broader deployment.</w:t>
      </w:r>
    </w:p>
    <w:p w14:paraId="0255C4C5" w14:textId="77777777" w:rsidR="001F25EE" w:rsidRDefault="00787332">
      <w:pPr>
        <w:spacing w:after="80"/>
        <w:jc w:val="both"/>
      </w:pPr>
      <w:r>
        <w:rPr>
          <w:color w:val="111111"/>
        </w:rPr>
        <w:t>Further work should also examine econ</w:t>
      </w:r>
      <w:r>
        <w:rPr>
          <w:color w:val="111111"/>
        </w:rPr>
        <w:t>omic feasibility, organisational readiness, training burden, and long-term maintenance. A technically valid prototype may still fail when support resources, governance authority, or integration with existing workflows are inadequate. Implementation researc</w:t>
      </w:r>
      <w:r>
        <w:rPr>
          <w:color w:val="111111"/>
        </w:rPr>
        <w:t>h should therefore accompany technical evaluation.</w:t>
      </w:r>
    </w:p>
    <w:p w14:paraId="2F6A6C85" w14:textId="77777777" w:rsidR="001F25EE" w:rsidRDefault="00787332">
      <w:pPr>
        <w:spacing w:before="100" w:after="60"/>
        <w:jc w:val="center"/>
      </w:pPr>
      <w:r>
        <w:rPr>
          <w:b/>
          <w:color w:val="111111"/>
          <w:sz w:val="18"/>
        </w:rPr>
        <w:t>Table 8. Priority Research Agenda</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213"/>
        <w:gridCol w:w="3213"/>
        <w:gridCol w:w="3213"/>
      </w:tblGrid>
      <w:tr w:rsidR="001F25EE" w14:paraId="6701DA87" w14:textId="77777777">
        <w:trPr>
          <w:jc w:val="center"/>
        </w:trPr>
        <w:tc>
          <w:tcPr>
            <w:tcW w:w="3213" w:type="dxa"/>
            <w:shd w:val="clear" w:color="auto" w:fill="2F66B3"/>
          </w:tcPr>
          <w:p w14:paraId="20D1F194" w14:textId="77777777" w:rsidR="001F25EE" w:rsidRDefault="00787332">
            <w:pPr>
              <w:jc w:val="center"/>
            </w:pPr>
            <w:r>
              <w:rPr>
                <w:b/>
                <w:color w:val="FFFFFF"/>
                <w:sz w:val="15"/>
              </w:rPr>
              <w:t>Priority</w:t>
            </w:r>
          </w:p>
        </w:tc>
        <w:tc>
          <w:tcPr>
            <w:tcW w:w="3213" w:type="dxa"/>
            <w:shd w:val="clear" w:color="auto" w:fill="2F66B3"/>
          </w:tcPr>
          <w:p w14:paraId="312D7B48" w14:textId="77777777" w:rsidR="001F25EE" w:rsidRDefault="00787332">
            <w:pPr>
              <w:jc w:val="center"/>
            </w:pPr>
            <w:r>
              <w:rPr>
                <w:b/>
                <w:color w:val="FFFFFF"/>
                <w:sz w:val="15"/>
              </w:rPr>
              <w:t>Study design</w:t>
            </w:r>
          </w:p>
        </w:tc>
        <w:tc>
          <w:tcPr>
            <w:tcW w:w="3213" w:type="dxa"/>
            <w:shd w:val="clear" w:color="auto" w:fill="2F66B3"/>
          </w:tcPr>
          <w:p w14:paraId="38DF3BB1" w14:textId="77777777" w:rsidR="001F25EE" w:rsidRDefault="00787332">
            <w:pPr>
              <w:jc w:val="center"/>
            </w:pPr>
            <w:r>
              <w:rPr>
                <w:b/>
                <w:color w:val="FFFFFF"/>
                <w:sz w:val="15"/>
              </w:rPr>
              <w:t>Expected evidence</w:t>
            </w:r>
          </w:p>
        </w:tc>
      </w:tr>
      <w:tr w:rsidR="001F25EE" w14:paraId="3925C72D" w14:textId="77777777">
        <w:trPr>
          <w:jc w:val="center"/>
        </w:trPr>
        <w:tc>
          <w:tcPr>
            <w:tcW w:w="3213" w:type="dxa"/>
            <w:vAlign w:val="center"/>
          </w:tcPr>
          <w:p w14:paraId="4D295618" w14:textId="77777777" w:rsidR="001F25EE" w:rsidRDefault="00787332">
            <w:pPr>
              <w:spacing w:after="0"/>
            </w:pPr>
            <w:r>
              <w:rPr>
                <w:color w:val="111111"/>
                <w:sz w:val="15"/>
              </w:rPr>
              <w:t>Component validity</w:t>
            </w:r>
          </w:p>
        </w:tc>
        <w:tc>
          <w:tcPr>
            <w:tcW w:w="3213" w:type="dxa"/>
            <w:vAlign w:val="center"/>
          </w:tcPr>
          <w:p w14:paraId="45D8A385" w14:textId="77777777" w:rsidR="001F25EE" w:rsidRDefault="00787332">
            <w:pPr>
              <w:spacing w:after="0"/>
            </w:pPr>
            <w:r>
              <w:rPr>
                <w:color w:val="111111"/>
                <w:sz w:val="15"/>
              </w:rPr>
              <w:t>Controlled benchmark study</w:t>
            </w:r>
          </w:p>
        </w:tc>
        <w:tc>
          <w:tcPr>
            <w:tcW w:w="3213" w:type="dxa"/>
            <w:vAlign w:val="center"/>
          </w:tcPr>
          <w:p w14:paraId="23060620" w14:textId="77777777" w:rsidR="001F25EE" w:rsidRDefault="00787332">
            <w:pPr>
              <w:spacing w:after="0"/>
            </w:pPr>
            <w:r>
              <w:rPr>
                <w:color w:val="111111"/>
                <w:sz w:val="15"/>
              </w:rPr>
              <w:t>Accuracy, calibration, failure modes</w:t>
            </w:r>
          </w:p>
        </w:tc>
      </w:tr>
      <w:tr w:rsidR="001F25EE" w14:paraId="13A3BB35" w14:textId="77777777">
        <w:trPr>
          <w:jc w:val="center"/>
        </w:trPr>
        <w:tc>
          <w:tcPr>
            <w:tcW w:w="3213" w:type="dxa"/>
            <w:vAlign w:val="center"/>
          </w:tcPr>
          <w:p w14:paraId="7956E31C" w14:textId="77777777" w:rsidR="001F25EE" w:rsidRDefault="00787332">
            <w:pPr>
              <w:spacing w:after="0"/>
            </w:pPr>
            <w:r>
              <w:rPr>
                <w:color w:val="111111"/>
                <w:sz w:val="15"/>
              </w:rPr>
              <w:t>Integrated usability</w:t>
            </w:r>
          </w:p>
        </w:tc>
        <w:tc>
          <w:tcPr>
            <w:tcW w:w="3213" w:type="dxa"/>
            <w:vAlign w:val="center"/>
          </w:tcPr>
          <w:p w14:paraId="15539A3E" w14:textId="77777777" w:rsidR="001F25EE" w:rsidRDefault="00787332">
            <w:pPr>
              <w:spacing w:after="0"/>
            </w:pPr>
            <w:r>
              <w:rPr>
                <w:color w:val="111111"/>
                <w:sz w:val="15"/>
              </w:rPr>
              <w:t>Scenario-based user study</w:t>
            </w:r>
          </w:p>
        </w:tc>
        <w:tc>
          <w:tcPr>
            <w:tcW w:w="3213" w:type="dxa"/>
            <w:vAlign w:val="center"/>
          </w:tcPr>
          <w:p w14:paraId="4350F3BF" w14:textId="77777777" w:rsidR="001F25EE" w:rsidRDefault="00787332">
            <w:pPr>
              <w:spacing w:after="0"/>
            </w:pPr>
            <w:r>
              <w:rPr>
                <w:color w:val="111111"/>
                <w:sz w:val="15"/>
              </w:rPr>
              <w:t>Task outcomes and interpretation</w:t>
            </w:r>
          </w:p>
        </w:tc>
      </w:tr>
      <w:tr w:rsidR="001F25EE" w14:paraId="63833653" w14:textId="77777777">
        <w:trPr>
          <w:jc w:val="center"/>
        </w:trPr>
        <w:tc>
          <w:tcPr>
            <w:tcW w:w="3213" w:type="dxa"/>
            <w:vAlign w:val="center"/>
          </w:tcPr>
          <w:p w14:paraId="0B51AB69" w14:textId="77777777" w:rsidR="001F25EE" w:rsidRDefault="00787332">
            <w:pPr>
              <w:spacing w:after="0"/>
            </w:pPr>
            <w:r>
              <w:rPr>
                <w:color w:val="111111"/>
                <w:sz w:val="15"/>
              </w:rPr>
              <w:t>Field feasibility</w:t>
            </w:r>
          </w:p>
        </w:tc>
        <w:tc>
          <w:tcPr>
            <w:tcW w:w="3213" w:type="dxa"/>
            <w:vAlign w:val="center"/>
          </w:tcPr>
          <w:p w14:paraId="572995BD" w14:textId="77777777" w:rsidR="001F25EE" w:rsidRDefault="00787332">
            <w:pPr>
              <w:spacing w:after="0"/>
            </w:pPr>
            <w:r>
              <w:rPr>
                <w:color w:val="111111"/>
                <w:sz w:val="15"/>
              </w:rPr>
              <w:t>Supervised prospective pilot</w:t>
            </w:r>
          </w:p>
        </w:tc>
        <w:tc>
          <w:tcPr>
            <w:tcW w:w="3213" w:type="dxa"/>
            <w:vAlign w:val="center"/>
          </w:tcPr>
          <w:p w14:paraId="71624F25" w14:textId="77777777" w:rsidR="001F25EE" w:rsidRDefault="00787332">
            <w:pPr>
              <w:spacing w:after="0"/>
            </w:pPr>
            <w:r>
              <w:rPr>
                <w:color w:val="111111"/>
                <w:sz w:val="15"/>
              </w:rPr>
              <w:t>Workflow, safety, maintenance</w:t>
            </w:r>
          </w:p>
        </w:tc>
      </w:tr>
      <w:tr w:rsidR="001F25EE" w14:paraId="6C117472" w14:textId="77777777">
        <w:trPr>
          <w:jc w:val="center"/>
        </w:trPr>
        <w:tc>
          <w:tcPr>
            <w:tcW w:w="3213" w:type="dxa"/>
            <w:vAlign w:val="center"/>
          </w:tcPr>
          <w:p w14:paraId="3BC7FFF8" w14:textId="77777777" w:rsidR="001F25EE" w:rsidRDefault="00787332">
            <w:pPr>
              <w:spacing w:after="0"/>
            </w:pPr>
            <w:r>
              <w:rPr>
                <w:color w:val="111111"/>
                <w:sz w:val="15"/>
              </w:rPr>
              <w:t>Transferability</w:t>
            </w:r>
          </w:p>
        </w:tc>
        <w:tc>
          <w:tcPr>
            <w:tcW w:w="3213" w:type="dxa"/>
            <w:vAlign w:val="center"/>
          </w:tcPr>
          <w:p w14:paraId="02B3A391" w14:textId="77777777" w:rsidR="001F25EE" w:rsidRDefault="00787332">
            <w:pPr>
              <w:spacing w:after="0"/>
            </w:pPr>
            <w:r>
              <w:rPr>
                <w:color w:val="111111"/>
                <w:sz w:val="15"/>
              </w:rPr>
              <w:t>Multi-site or multi-device replication</w:t>
            </w:r>
          </w:p>
        </w:tc>
        <w:tc>
          <w:tcPr>
            <w:tcW w:w="3213" w:type="dxa"/>
            <w:vAlign w:val="center"/>
          </w:tcPr>
          <w:p w14:paraId="40969651" w14:textId="77777777" w:rsidR="001F25EE" w:rsidRDefault="00787332">
            <w:pPr>
              <w:spacing w:after="0"/>
            </w:pPr>
            <w:r>
              <w:rPr>
                <w:color w:val="111111"/>
                <w:sz w:val="15"/>
              </w:rPr>
              <w:t>Boundary conditions and generalisability</w:t>
            </w:r>
          </w:p>
        </w:tc>
      </w:tr>
    </w:tbl>
    <w:p w14:paraId="74AD3425" w14:textId="77777777" w:rsidR="001F25EE" w:rsidRDefault="00787332">
      <w:pPr>
        <w:pStyle w:val="JASTEH1"/>
      </w:pPr>
      <w:r>
        <w:t>11. CONCLUSION</w:t>
      </w:r>
    </w:p>
    <w:p w14:paraId="33B65DA9" w14:textId="77777777" w:rsidR="001F25EE" w:rsidRDefault="00787332">
      <w:pPr>
        <w:spacing w:after="80"/>
        <w:jc w:val="both"/>
      </w:pPr>
      <w:r>
        <w:t>A deep</w:t>
      </w:r>
      <w:r>
        <w:t>fake-resilient voice authentication system should combine spectral and learned representations, nonlinear fusion, speaker verification, calibrated risk decisions, and accessible fallback. Experimental work should prioritize unseen-attack generalization and</w:t>
      </w:r>
      <w:r>
        <w:t xml:space="preserve"> real acoustic conditions. The proposed architecture offers a testable foundation for secure digital assistants without claiming that spectral analysis alone guarantees authenticity. In operational use, however, voice comparison should function within mult</w:t>
      </w:r>
      <w:r>
        <w:t>ifactor authentication and accessible fallback procedures rather than serve as the sole authenticator (Temoshok et al., 2025).</w:t>
      </w:r>
    </w:p>
    <w:p w14:paraId="7633FDB9" w14:textId="77777777" w:rsidR="001F25EE" w:rsidRDefault="00787332">
      <w:pPr>
        <w:spacing w:after="80"/>
        <w:jc w:val="both"/>
      </w:pPr>
      <w:r>
        <w:rPr>
          <w:color w:val="111111"/>
        </w:rPr>
        <w:t xml:space="preserve">In summary, responsible progress in voice security for digital assistants used by older adults requires a traceable relationship </w:t>
      </w:r>
      <w:r>
        <w:rPr>
          <w:color w:val="111111"/>
        </w:rPr>
        <w:t>between evidence, processing, decisions, users, and governance. The proposed framework supplies that relationship and defines a practical agenda for prototype validation without presenting untested performance as an established result.</w:t>
      </w:r>
    </w:p>
    <w:p w14:paraId="4399A089" w14:textId="77777777" w:rsidR="001F25EE" w:rsidRDefault="00787332">
      <w:pPr>
        <w:spacing w:after="80"/>
        <w:jc w:val="both"/>
      </w:pPr>
      <w:r>
        <w:rPr>
          <w:color w:val="111111"/>
        </w:rPr>
        <w:t>The practical contri</w:t>
      </w:r>
      <w:r>
        <w:rPr>
          <w:color w:val="111111"/>
        </w:rPr>
        <w:t xml:space="preserve">bution of this framework is a common language for researchers, developers, and decision makers working on voice security for digital assistants used by older adults. It connects a technical feature to its evidentiary </w:t>
      </w:r>
      <w:r>
        <w:rPr>
          <w:color w:val="111111"/>
        </w:rPr>
        <w:lastRenderedPageBreak/>
        <w:t xml:space="preserve">purpose, validation requirement, risk, </w:t>
      </w:r>
      <w:r>
        <w:rPr>
          <w:color w:val="111111"/>
        </w:rPr>
        <w:t>and accountable user. This connection helps prevent isolated optimisation, in which one metric improves while the surrounding workflow becomes harder to interpret, maintain, or govern.</w:t>
      </w:r>
    </w:p>
    <w:p w14:paraId="77B08B32" w14:textId="77777777" w:rsidR="001F25EE" w:rsidRDefault="00787332">
      <w:pPr>
        <w:spacing w:after="80"/>
        <w:jc w:val="both"/>
      </w:pPr>
      <w:r>
        <w:rPr>
          <w:color w:val="111111"/>
        </w:rPr>
        <w:t>For publication, future empirical versions should replace proposed proc</w:t>
      </w:r>
      <w:r>
        <w:rPr>
          <w:color w:val="111111"/>
        </w:rPr>
        <w:t>edures with exact observed methods and results. Dataset characteristics, inclusion decisions, preprocessing, software versions, statistical analysis, and deviations from the protocol should be reported transparently. Tables and figures should present repro</w:t>
      </w:r>
      <w:r>
        <w:rPr>
          <w:color w:val="111111"/>
        </w:rPr>
        <w:t>ducible evidence rather than illustrative numbers. This distinction is essential because a conceptual engineering article can guide design, but only empirical evaluation can support claims about measured effectiveness.</w:t>
      </w:r>
    </w:p>
    <w:p w14:paraId="4AD8FECA" w14:textId="77777777" w:rsidR="001F25EE" w:rsidRDefault="00787332">
      <w:pPr>
        <w:spacing w:after="80"/>
        <w:jc w:val="both"/>
      </w:pPr>
      <w:r>
        <w:rPr>
          <w:color w:val="111111"/>
        </w:rPr>
        <w:t>For implementation, the recommended p</w:t>
      </w:r>
      <w:r>
        <w:rPr>
          <w:color w:val="111111"/>
        </w:rPr>
        <w:t>riority is not immediate automation but reliable assistance. The system should make evidence easier to organise, inspect, and communicate while preserving human authority for consequential interpretation. Automation can be expanded only after monitoring de</w:t>
      </w:r>
      <w:r>
        <w:rPr>
          <w:color w:val="111111"/>
        </w:rPr>
        <w:t>monstrates stable behaviour, reviewers understand limitations, and governance mechanisms respond effectively to errors and complaints.</w:t>
      </w:r>
    </w:p>
    <w:p w14:paraId="01B36E84" w14:textId="77777777" w:rsidR="001F25EE" w:rsidRDefault="00787332">
      <w:pPr>
        <w:spacing w:after="80"/>
        <w:jc w:val="both"/>
      </w:pPr>
      <w:r>
        <w:rPr>
          <w:color w:val="111111"/>
        </w:rPr>
        <w:t>The framework also supports cumulative research. Because inputs, components, interfaces, metrics, and operating boundarie</w:t>
      </w:r>
      <w:r>
        <w:rPr>
          <w:color w:val="111111"/>
        </w:rPr>
        <w:t>s are specified separately, later studies can test individual assumptions and compare alternatives without rebuilding the entire conceptual model. Replication can then identify which findings are stable, which depend on context, and which controls are nece</w:t>
      </w:r>
      <w:r>
        <w:rPr>
          <w:color w:val="111111"/>
        </w:rPr>
        <w:t>ssary for transfer to a new population or institution.</w:t>
      </w:r>
    </w:p>
    <w:p w14:paraId="5BA37D57" w14:textId="77777777" w:rsidR="001F25EE" w:rsidRDefault="00787332">
      <w:pPr>
        <w:spacing w:after="80"/>
        <w:jc w:val="both"/>
      </w:pPr>
      <w:r>
        <w:rPr>
          <w:color w:val="111111"/>
        </w:rPr>
        <w:t xml:space="preserve">Accordingly, readiness should be treated as an evidence threshold rather than as a project deadline. A system is ready only when the required technical tests, human-centred evaluation, risk </w:t>
      </w:r>
      <w:r>
        <w:rPr>
          <w:color w:val="111111"/>
        </w:rPr>
        <w:t>controls, documentation, training, and maintenance ownership have been demonstrated together. Where evidence remains incomplete, the appropriate conclusion is a narrower operating boundary or further study—not an unsupported claim of general applicability.</w:t>
      </w:r>
    </w:p>
    <w:p w14:paraId="2A0C6613" w14:textId="77777777" w:rsidR="001F25EE" w:rsidRDefault="00787332">
      <w:pPr>
        <w:pStyle w:val="JASTEH1"/>
      </w:pPr>
      <w:r>
        <w:t>AUTHOR CONTRIBUTIONS</w:t>
      </w:r>
    </w:p>
    <w:p w14:paraId="38B4ADDC" w14:textId="77777777" w:rsidR="001F25EE" w:rsidRDefault="00787332">
      <w:pPr>
        <w:spacing w:after="40"/>
        <w:jc w:val="both"/>
      </w:pPr>
      <w:r>
        <w:rPr>
          <w:color w:val="111111"/>
        </w:rPr>
        <w:t>The listed author(s) contributed to conceptualisation, literature synthesis, framework development, writing, review, and approval of the manuscript. Every author must verify this statement before publication.</w:t>
      </w:r>
    </w:p>
    <w:p w14:paraId="067EAB4A" w14:textId="77777777" w:rsidR="001F25EE" w:rsidRDefault="00787332">
      <w:pPr>
        <w:pStyle w:val="JASTEH1"/>
      </w:pPr>
      <w:r>
        <w:t>FUNDING</w:t>
      </w:r>
    </w:p>
    <w:p w14:paraId="447DEB9B" w14:textId="77777777" w:rsidR="001F25EE" w:rsidRDefault="00787332">
      <w:pPr>
        <w:spacing w:after="40"/>
        <w:jc w:val="both"/>
      </w:pPr>
      <w:r>
        <w:rPr>
          <w:color w:val="111111"/>
        </w:rPr>
        <w:t xml:space="preserve">This </w:t>
      </w:r>
      <w:r>
        <w:rPr>
          <w:color w:val="111111"/>
        </w:rPr>
        <w:t>article received no external funding. The authors must replace this statement if funding applies.</w:t>
      </w:r>
    </w:p>
    <w:p w14:paraId="2DC47C37" w14:textId="77777777" w:rsidR="001F25EE" w:rsidRDefault="00787332">
      <w:pPr>
        <w:pStyle w:val="JASTEH1"/>
      </w:pPr>
      <w:r>
        <w:t>CONFLICTS OF INTEREST</w:t>
      </w:r>
    </w:p>
    <w:p w14:paraId="65DE1AD3" w14:textId="77777777" w:rsidR="001F25EE" w:rsidRDefault="00787332">
      <w:pPr>
        <w:spacing w:after="40"/>
        <w:jc w:val="both"/>
      </w:pPr>
      <w:r>
        <w:rPr>
          <w:color w:val="111111"/>
        </w:rPr>
        <w:t>The author(s) declare no conflict of interest. Every author must verify this statement before publication.</w:t>
      </w:r>
    </w:p>
    <w:p w14:paraId="14B8107C" w14:textId="77777777" w:rsidR="001F25EE" w:rsidRDefault="00787332">
      <w:pPr>
        <w:pStyle w:val="JASTEH1"/>
      </w:pPr>
      <w:r>
        <w:t>DATA AVAILABILITY STATEMENT</w:t>
      </w:r>
    </w:p>
    <w:p w14:paraId="745D13E0" w14:textId="77777777" w:rsidR="001F25EE" w:rsidRDefault="00787332">
      <w:pPr>
        <w:spacing w:after="40"/>
        <w:jc w:val="both"/>
      </w:pPr>
      <w:r>
        <w:rPr>
          <w:color w:val="111111"/>
        </w:rPr>
        <w:t>N</w:t>
      </w:r>
      <w:r>
        <w:rPr>
          <w:color w:val="111111"/>
        </w:rPr>
        <w:t>o original dataset was generated because this article presents a conceptual technical review and design framework.</w:t>
      </w:r>
    </w:p>
    <w:p w14:paraId="31D0665F" w14:textId="77777777" w:rsidR="001F25EE" w:rsidRDefault="00787332">
      <w:pPr>
        <w:pStyle w:val="JASTEH1"/>
      </w:pPr>
      <w:r>
        <w:t>REFERENCES</w:t>
      </w:r>
    </w:p>
    <w:p w14:paraId="22F416DE" w14:textId="77777777" w:rsidR="001F25EE" w:rsidRDefault="00787332">
      <w:pPr>
        <w:keepLines/>
        <w:spacing w:after="60"/>
        <w:ind w:left="360" w:hanging="360"/>
      </w:pPr>
      <w:r>
        <w:t>Almutairi, Z., &amp; Elgibreen, H. (2022). A review of modern audio deepfake detection methods: Challenges and future directions. Algo</w:t>
      </w:r>
      <w:r>
        <w:t>rithms, 15(5), 155. https://doi.org/10.3390/a15050155</w:t>
      </w:r>
    </w:p>
    <w:p w14:paraId="091DF9A6" w14:textId="77777777" w:rsidR="001F25EE" w:rsidRDefault="00787332">
      <w:pPr>
        <w:keepLines/>
        <w:spacing w:after="60"/>
        <w:ind w:left="360" w:hanging="360"/>
      </w:pPr>
      <w:r>
        <w:t>Brümmer, N., &amp; du Preez, J. (2006). Application-independent evaluation of speaker detection. Computer Speech &amp; Language, 20(2–3), 230–275. https://doi.org/10.1016/j.csl.2005.08.001</w:t>
      </w:r>
    </w:p>
    <w:p w14:paraId="5DFF1538" w14:textId="77777777" w:rsidR="001F25EE" w:rsidRDefault="00787332">
      <w:pPr>
        <w:keepLines/>
        <w:spacing w:after="60"/>
        <w:ind w:left="360" w:hanging="360"/>
      </w:pPr>
      <w:r>
        <w:t>Chen, G., Chen, S., F</w:t>
      </w:r>
      <w:r>
        <w:t>an, L., Du, X., Zhao, Z., Song, F., &amp; Liu, Y. (2021). Who is real Bob? Adversarial attacks on speaker recognition systems. In 2021 IEEE Symposium on Security and Privacy (pp. 694–711). IEEE. https://doi.org/10.1109/SP40001.2021.00004</w:t>
      </w:r>
    </w:p>
    <w:p w14:paraId="1DDDDCDD" w14:textId="77777777" w:rsidR="001F25EE" w:rsidRDefault="00787332">
      <w:pPr>
        <w:keepLines/>
        <w:spacing w:after="60"/>
        <w:ind w:left="360" w:hanging="360"/>
      </w:pPr>
      <w:r>
        <w:t>Chen, X., Zhang, Y., Z</w:t>
      </w:r>
      <w:r>
        <w:t>hu, G., &amp; Duan, Z. (2021). UR channel-robust synthetic speech detection system for ASVspoof 2021. In 2021 Edition of the Automatic Speaker Verification and Spoofing Countermeasures Challenge (pp. 75–82). ISCA. https://doi.org/10.21437/ASVSPOOF.2021-12</w:t>
      </w:r>
    </w:p>
    <w:p w14:paraId="636EC3C1" w14:textId="77777777" w:rsidR="001F25EE" w:rsidRDefault="00787332">
      <w:pPr>
        <w:keepLines/>
        <w:spacing w:after="60"/>
        <w:ind w:left="360" w:hanging="360"/>
      </w:pPr>
      <w:r>
        <w:t>Das,</w:t>
      </w:r>
      <w:r>
        <w:t xml:space="preserve"> R. K. (2021). Known-unknown data augmentation strategies for detection of logical access, physical access and speech deepfake attacks: ASVspoof 2021. In 2021 Edition of the Automatic Speaker Verification and Spoofing Countermeasures Challenge (pp. 29–36).</w:t>
      </w:r>
      <w:r>
        <w:t xml:space="preserve"> ISCA. https://doi.org/10.21437/ASVSPOOF.2021-5</w:t>
      </w:r>
    </w:p>
    <w:p w14:paraId="2B58A92B" w14:textId="77777777" w:rsidR="001F25EE" w:rsidRDefault="00787332">
      <w:pPr>
        <w:keepLines/>
        <w:spacing w:after="60"/>
        <w:ind w:left="360" w:hanging="360"/>
      </w:pPr>
      <w:r>
        <w:t>Desplanques, B., Thienpondt, J., &amp; Demuynck, K. (2020). ECAPA-TDNN: Emphasized channel attention, propagation and aggregation in TDNN based speaker verification. In Interspeech 2020 (pp. 3830–3834). ISCA. htt</w:t>
      </w:r>
      <w:r>
        <w:t>ps://doi.org/10.21437/Interspeech.2020-2650</w:t>
      </w:r>
    </w:p>
    <w:p w14:paraId="035E993D" w14:textId="77777777" w:rsidR="001F25EE" w:rsidRDefault="00787332">
      <w:pPr>
        <w:keepLines/>
        <w:spacing w:after="60"/>
        <w:ind w:left="360" w:hanging="360"/>
      </w:pPr>
      <w:r>
        <w:t>Dhamyal, H., Ali, A., Qazi, I. A., &amp; Raza, A. A. (2021). Fake audio detection in resource-constrained settings using microfeatures. In Interspeech 2021 (pp. 4149–4153). ISCA. https://doi.org/10.21437/Interspeech.</w:t>
      </w:r>
      <w:r>
        <w:t>2021-524</w:t>
      </w:r>
    </w:p>
    <w:p w14:paraId="5F2958A1" w14:textId="77777777" w:rsidR="001F25EE" w:rsidRDefault="00787332">
      <w:pPr>
        <w:keepLines/>
        <w:spacing w:after="60"/>
        <w:ind w:left="360" w:hanging="360"/>
      </w:pPr>
      <w:r>
        <w:t>Ge, W., Patino, J., Todisco, M., &amp; Evans, N. (2021). Raw differentiable architecture search for speech deepfake and spoofing detection. In 2021 Edition of the Automatic Speaker Verification and Spoofing Countermeasures Challenge (pp. 22–28). ISCA.</w:t>
      </w:r>
      <w:r>
        <w:t xml:space="preserve"> https://doi.org/10.21437/ASVSPOOF.2021-4</w:t>
      </w:r>
    </w:p>
    <w:p w14:paraId="5039FD6B" w14:textId="77777777" w:rsidR="001F25EE" w:rsidRDefault="00787332">
      <w:pPr>
        <w:keepLines/>
        <w:spacing w:after="60"/>
        <w:ind w:left="360" w:hanging="360"/>
      </w:pPr>
      <w:r>
        <w:t>International Organization for Standardization. (2018). Ergonomics of human-system interaction—Part 11: Usability: Definitions and concepts (ISO Standard No. 9241-11:2018). https://www.iso.org/standard/63500.html</w:t>
      </w:r>
    </w:p>
    <w:p w14:paraId="5BBBBF0C" w14:textId="77777777" w:rsidR="001F25EE" w:rsidRDefault="00787332">
      <w:pPr>
        <w:keepLines/>
        <w:spacing w:after="60"/>
        <w:ind w:left="360" w:hanging="360"/>
      </w:pPr>
      <w:r>
        <w:lastRenderedPageBreak/>
        <w:t>J</w:t>
      </w:r>
      <w:r>
        <w:t>ung, J.-W., Heo, H.-S., Tak, H., Shim, H.-J., Chung, J. S., Lee, B.-J., Yu, H.-J., &amp; Evans, N. (2022). AASIST: Audio anti-spoofing using integrated spectro-temporal graph attention networks. In 2022 IEEE International Conference on Acoustics, Speech and Si</w:t>
      </w:r>
      <w:r>
        <w:t>gnal Processing (pp. 6367–6371). IEEE. https://doi.org/10.1109/ICASSP43922.2022.9747766</w:t>
      </w:r>
    </w:p>
    <w:p w14:paraId="4C9D0CA5" w14:textId="77777777" w:rsidR="001F25EE" w:rsidRDefault="00787332">
      <w:pPr>
        <w:keepLines/>
        <w:spacing w:after="60"/>
        <w:ind w:left="360" w:hanging="360"/>
      </w:pPr>
      <w:r>
        <w:t>Kawa, P., Plata, M., &amp; Syga, P. (2022). Attack agnostic dataset: Towards generalization and stabilization of audio deepfake detection. In Interspeech 2022 (pp. 4023–402</w:t>
      </w:r>
      <w:r>
        <w:t>7). ISCA. https://doi.org/10.21437/Interspeech.2022-10078</w:t>
      </w:r>
    </w:p>
    <w:p w14:paraId="3FFAF540" w14:textId="77777777" w:rsidR="001F25EE" w:rsidRDefault="00787332">
      <w:pPr>
        <w:keepLines/>
        <w:spacing w:after="60"/>
        <w:ind w:left="360" w:hanging="360"/>
      </w:pPr>
      <w:r>
        <w:t>Kinnunen, T., Lee, K. A., Delgado, H., Evans, N., Todisco, M., Sahidullah, M., Yamagishi, J., &amp; Reynolds, D. A. (2018). t-DCF: A detection cost function for the tandem assessment of spoofing counter</w:t>
      </w:r>
      <w:r>
        <w:t>measures and automatic speaker verification. In The Speaker and Language Recognition Workshop (Odyssey 2018) (pp. 312–319). ISCA. https://doi.org/10.21437/Odyssey.2018-44</w:t>
      </w:r>
    </w:p>
    <w:p w14:paraId="199F73E4" w14:textId="77777777" w:rsidR="001F25EE" w:rsidRDefault="00787332">
      <w:pPr>
        <w:keepLines/>
        <w:spacing w:after="60"/>
        <w:ind w:left="360" w:hanging="360"/>
      </w:pPr>
      <w:r>
        <w:t>Müller, N. M., Czempin, P., Dieckmann, F., Froghyar, A., &amp; Böttinger, K. (2022). Does</w:t>
      </w:r>
      <w:r>
        <w:t xml:space="preserve"> audio deepfake detection generalize? In Interspeech 2022 (pp. 2783–2787). ISCA. https://doi.org/10.21437/Interspeech.2022-108</w:t>
      </w:r>
    </w:p>
    <w:p w14:paraId="152DAAED" w14:textId="77777777" w:rsidR="001F25EE" w:rsidRDefault="00787332">
      <w:pPr>
        <w:keepLines/>
        <w:spacing w:after="60"/>
        <w:ind w:left="360" w:hanging="360"/>
      </w:pPr>
      <w:r>
        <w:t>National Institute of Standards and Technology. (2020). NIST privacy framework: A tool for improving privacy through enterprise r</w:t>
      </w:r>
      <w:r>
        <w:t>isk management, version 1.0. U.S. Department of Commerce. https://doi.org/10.6028/NIST.CSWP.01162020</w:t>
      </w:r>
    </w:p>
    <w:p w14:paraId="14030950" w14:textId="77777777" w:rsidR="001F25EE" w:rsidRDefault="00787332">
      <w:pPr>
        <w:keepLines/>
        <w:spacing w:after="60"/>
        <w:ind w:left="360" w:hanging="360"/>
      </w:pPr>
      <w:r>
        <w:t>Pan, J., Nie, S., Zhang, H., He, S., Zhang, K., Liang, S., Zhang, X., &amp; Tao, J. (2022). Speaker recognition-assisted robust audio deepfake detection. In In</w:t>
      </w:r>
      <w:r>
        <w:t>terspeech 2022 (pp. 4202–4206). ISCA. https://doi.org/10.21437/Interspeech.2022-72</w:t>
      </w:r>
    </w:p>
    <w:p w14:paraId="5388F2EA" w14:textId="77777777" w:rsidR="001F25EE" w:rsidRDefault="00787332">
      <w:pPr>
        <w:keepLines/>
        <w:spacing w:after="60"/>
        <w:ind w:left="360" w:hanging="360"/>
      </w:pPr>
      <w:r>
        <w:t>Tak, H., Patino, J., Todisco, M., Nautsch, A., Evans, N., &amp; Larcher, A. (2021a). End-to-end anti-spoofing with RawNet2. In 2021 IEEE International Conference on Acoustics, S</w:t>
      </w:r>
      <w:r>
        <w:t>peech and Signal Processing (pp. 6369–6373). IEEE. https://doi.org/10.1109/ICASSP39728.2021.9414234</w:t>
      </w:r>
    </w:p>
    <w:p w14:paraId="47DBE555" w14:textId="77777777" w:rsidR="001F25EE" w:rsidRDefault="00787332">
      <w:pPr>
        <w:keepLines/>
        <w:spacing w:after="60"/>
        <w:ind w:left="360" w:hanging="360"/>
      </w:pPr>
      <w:r>
        <w:t xml:space="preserve">Tak, H., Jung, J.-W., Patino, J., Kamble, M., Todisco, M., &amp; Evans, N. (2021b). End-to-end spectro-temporal graph attention networks for speaker </w:t>
      </w:r>
      <w:r>
        <w:t>verification anti-spoofing and speech deepfake detection. In 2021 Edition of the Automatic Speaker Verification and Spoofing Countermeasures Challenge (pp. 1–8). ISCA. https://doi.org/10.21437/ASVSPOOF.2021-1</w:t>
      </w:r>
    </w:p>
    <w:p w14:paraId="59F9BE0D" w14:textId="77777777" w:rsidR="001F25EE" w:rsidRDefault="00787332">
      <w:pPr>
        <w:keepLines/>
        <w:spacing w:after="60"/>
        <w:ind w:left="360" w:hanging="360"/>
      </w:pPr>
      <w:r>
        <w:t>Temoshok, D., Choong, Y.-Y., Regenscheid, A., G</w:t>
      </w:r>
      <w:r>
        <w:t>alluzzo, R., Fenton, J. L., Richer, J., &amp; Lefkovitz, N. (2025). Digital identity guidelines: Authentication and authenticator management (NIST Special Publication 800-63B-4). National Institute of Standards and Technology. https://doi.org/10.6028/NIST.SP.8</w:t>
      </w:r>
      <w:r>
        <w:t>00-63B-4</w:t>
      </w:r>
    </w:p>
    <w:p w14:paraId="5CFCE032" w14:textId="77777777" w:rsidR="001F25EE" w:rsidRDefault="00787332">
      <w:pPr>
        <w:keepLines/>
        <w:spacing w:after="60"/>
        <w:ind w:left="360" w:hanging="360"/>
      </w:pPr>
      <w:r>
        <w:t>Todisco, M., Delgado, H., &amp; Evans, N. (2016). A new feature for automatic speaker verification anti-spoofing: Constant Q cepstral coefficients. In The Speaker and Language Recognition Workshop (Odyssey 2016) (pp. 283–290). ISCA. https://doi.org/10</w:t>
      </w:r>
      <w:r>
        <w:t>.21437/Odyssey.2016-41</w:t>
      </w:r>
    </w:p>
    <w:p w14:paraId="6C31D872" w14:textId="77777777" w:rsidR="001F25EE" w:rsidRDefault="00787332">
      <w:pPr>
        <w:keepLines/>
        <w:spacing w:after="60"/>
        <w:ind w:left="360" w:hanging="360"/>
      </w:pPr>
      <w:r>
        <w:t>Todisco, M., Wang, X., Vestman, V., Sahidullah, M., Delgado, H., Nautsch, A., Yamagishi, J., Evans, N., Kinnunen, T. H., &amp; Lee, K. A. (2019). ASVspoof 2019: Future horizons in spoofed and fake audio detection. In Interspeech 2019 (pp</w:t>
      </w:r>
      <w:r>
        <w:t>. 1008–1012). ISCA. https://doi.org/10.21437/Interspeech.2019-2249</w:t>
      </w:r>
    </w:p>
    <w:p w14:paraId="4F497809" w14:textId="77777777" w:rsidR="001F25EE" w:rsidRDefault="00787332">
      <w:pPr>
        <w:keepLines/>
        <w:spacing w:after="60"/>
        <w:ind w:left="360" w:hanging="360"/>
      </w:pPr>
      <w:r>
        <w:t>Tomilov, A., Svishchev, A., Volkova, M., Chirkovskiy, A., Kondratev, A., &amp; Lavrentyeva, G. (2021). STC antispoofing systems for the ASVspoof 2021 challenge. In 2021 Edition of the Automatic</w:t>
      </w:r>
      <w:r>
        <w:t xml:space="preserve"> Speaker Verification and Spoofing Countermeasures Challenge (pp. 61–67). ISCA. https://doi.org/10.21437/ASVSPOOF.2021-10</w:t>
      </w:r>
    </w:p>
    <w:p w14:paraId="508EDD64" w14:textId="77777777" w:rsidR="001F25EE" w:rsidRDefault="00787332">
      <w:pPr>
        <w:keepLines/>
        <w:spacing w:after="60"/>
        <w:ind w:left="360" w:hanging="360"/>
      </w:pPr>
      <w:r>
        <w:t>World Wide Web Consortium. (2023). Web Content Accessibility Guidelines (WCAG) 2.2. https://www.w3.org/TR/WCAG22/</w:t>
      </w:r>
    </w:p>
    <w:p w14:paraId="13D0234B" w14:textId="77777777" w:rsidR="001F25EE" w:rsidRDefault="00787332">
      <w:pPr>
        <w:keepLines/>
        <w:spacing w:after="60"/>
        <w:ind w:left="360" w:hanging="360"/>
      </w:pPr>
      <w:r>
        <w:t>Yoon, S., &amp; Yu, H.-J</w:t>
      </w:r>
      <w:r>
        <w:t>. (2021). Multiple-point input and time-inverted speech signal for the ASVspoof 2021 challenge. In 2021 Edition of the Automatic Speaker Verification and Spoofing Countermeasures Challenge (pp. 37–41). ISCA. https://doi.org/10.21437/ASVSPOOF.2021-6</w:t>
      </w:r>
    </w:p>
    <w:p w14:paraId="32E69F2E" w14:textId="77777777" w:rsidR="001F25EE" w:rsidRDefault="00787332">
      <w:pPr>
        <w:jc w:val="center"/>
      </w:pPr>
      <w:r>
        <w:rPr>
          <w:b/>
          <w:color w:val="2F66B3"/>
          <w:sz w:val="16"/>
        </w:rPr>
        <w:t xml:space="preserve">© 2026 </w:t>
      </w:r>
      <w:r>
        <w:rPr>
          <w:b/>
          <w:color w:val="2F66B3"/>
          <w:sz w:val="16"/>
        </w:rPr>
        <w:t>The Author(s) | Open Access</w:t>
      </w:r>
    </w:p>
    <w:sectPr w:rsidR="001F25EE" w:rsidSect="00AF6C57">
      <w:headerReference w:type="default" r:id="rId8"/>
      <w:footerReference w:type="default" r:id="rId9"/>
      <w:pgSz w:w="11906" w:h="16838"/>
      <w:pgMar w:top="907" w:right="1134" w:bottom="907" w:left="1134" w:header="397" w:footer="397" w:gutter="0"/>
      <w:pgNumType w:start="3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FFEE4" w14:textId="77777777" w:rsidR="00787332" w:rsidRDefault="00787332">
      <w:pPr>
        <w:spacing w:after="0" w:line="240" w:lineRule="auto"/>
      </w:pPr>
      <w:r>
        <w:separator/>
      </w:r>
    </w:p>
  </w:endnote>
  <w:endnote w:type="continuationSeparator" w:id="0">
    <w:p w14:paraId="7C51D01D" w14:textId="77777777" w:rsidR="00787332" w:rsidRDefault="00787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725F3" w14:textId="77777777" w:rsidR="001F25EE" w:rsidRDefault="00787332">
    <w:pPr>
      <w:pStyle w:val="Footer"/>
      <w:jc w:val="center"/>
    </w:pPr>
    <w:r>
      <w:rPr>
        <w:color w:val="666666"/>
        <w:sz w:val="16"/>
      </w:rPr>
      <w:t xml:space="preserve">https://jurnal.aretelitera.com/JASTE/   |   </w:t>
    </w:r>
    <w:r>
      <w:rPr>
        <w:color w:val="666666"/>
        <w:sz w:val="16"/>
      </w:rPr>
      <w:fldChar w:fldCharType="begin"/>
    </w:r>
    <w:r>
      <w:rPr>
        <w:color w:val="666666"/>
        <w:sz w:val="16"/>
      </w:rPr>
      <w:instrText xml:space="preserve"> PAGE </w:instrText>
    </w:r>
    <w:r w:rsidR="00AF6C57">
      <w:rPr>
        <w:color w:val="666666"/>
        <w:sz w:val="16"/>
      </w:rPr>
      <w:fldChar w:fldCharType="separate"/>
    </w:r>
    <w:r w:rsidR="00AF6C57">
      <w:rPr>
        <w:noProof/>
        <w:color w:val="666666"/>
        <w:sz w:val="16"/>
      </w:rPr>
      <w:t>1</w:t>
    </w:r>
    <w:r>
      <w:rPr>
        <w:color w:val="666666"/>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FE11B" w14:textId="77777777" w:rsidR="00787332" w:rsidRDefault="00787332">
      <w:pPr>
        <w:spacing w:after="0" w:line="240" w:lineRule="auto"/>
      </w:pPr>
      <w:r>
        <w:separator/>
      </w:r>
    </w:p>
  </w:footnote>
  <w:footnote w:type="continuationSeparator" w:id="0">
    <w:p w14:paraId="7D6F4565" w14:textId="77777777" w:rsidR="00787332" w:rsidRDefault="007873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6DB2E" w14:textId="77777777" w:rsidR="001F25EE" w:rsidRDefault="00787332">
    <w:pPr>
      <w:pStyle w:val="Header"/>
      <w:pBdr>
        <w:bottom w:val="single" w:sz="8" w:space="0" w:color="2F66B3"/>
      </w:pBdr>
    </w:pPr>
    <w:r>
      <w:rPr>
        <w:b/>
        <w:color w:val="2F66B3"/>
        <w:sz w:val="18"/>
      </w:rPr>
      <w:t>JASTE</w:t>
    </w:r>
    <w:r>
      <w:rPr>
        <w:color w:val="666666"/>
        <w:sz w:val="16"/>
      </w:rPr>
      <w:t xml:space="preserve">  |  Journal of Applied Science and Technology in Engineering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25EE"/>
    <w:rsid w:val="0029639D"/>
    <w:rsid w:val="00326F90"/>
    <w:rsid w:val="00787332"/>
    <w:rsid w:val="00AA1D8D"/>
    <w:rsid w:val="00AF6C57"/>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2A11FA"/>
  <w14:defaultImageDpi w14:val="300"/>
  <w15:docId w15:val="{4BC7412D-E204-4475-B9F8-5AD92879E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259" w:lineRule="auto"/>
    </w:pPr>
    <w:rPr>
      <w:rFonts w:ascii="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JASTEH1">
    <w:name w:val="JASTE H1"/>
    <w:pPr>
      <w:keepNext/>
      <w:spacing w:before="140" w:after="60"/>
    </w:pPr>
    <w:rPr>
      <w:rFonts w:ascii="Times New Roman" w:hAnsi="Times New Roman"/>
      <w:b/>
      <w:color w:val="2F66B3"/>
      <w:sz w:val="20"/>
    </w:rPr>
  </w:style>
  <w:style w:type="paragraph" w:customStyle="1" w:styleId="JASTEH2">
    <w:name w:val="JASTE H2"/>
    <w:pPr>
      <w:keepNext/>
      <w:spacing w:before="140" w:after="60"/>
    </w:pPr>
    <w:rPr>
      <w:rFonts w:ascii="Times New Roman" w:hAnsi="Times New Roman"/>
      <w:b/>
      <w:color w:val="11111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9427</Words>
  <Characters>53735</Characters>
  <Application>Microsoft Office Word</Application>
  <DocSecurity>0</DocSecurity>
  <Lines>447</Lines>
  <Paragraphs>126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63036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Deepfake-Voice-Resilient Authentication Architecture Using Nonlinear Spectral Analysis for Older Adult Digital Assistants</dc:title>
  <dc:subject>JASTE initial article, expanded version</dc:subject>
  <dc:creator>Asep Suhendar¹*</dc:creator>
  <cp:keywords/>
  <dc:description>generated by python-docx</dc:description>
  <cp:lastModifiedBy>erislan stmm</cp:lastModifiedBy>
  <cp:revision>2</cp:revision>
  <dcterms:created xsi:type="dcterms:W3CDTF">2013-12-23T23:15:00Z</dcterms:created>
  <dcterms:modified xsi:type="dcterms:W3CDTF">2026-08-25T03:57:00Z</dcterms:modified>
  <cp:category/>
</cp:coreProperties>
</file>