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FC3E0"/>
          <w:left w:val="single" w:sz="4" w:space="0" w:color="AFC3E0"/>
          <w:bottom w:val="single" w:sz="4" w:space="0" w:color="AFC3E0"/>
          <w:right w:val="single" w:sz="4" w:space="0" w:color="AFC3E0"/>
          <w:insideH w:val="single" w:sz="4" w:space="0" w:color="AFC3E0"/>
          <w:insideV w:val="single" w:sz="4" w:space="0" w:color="AFC3E0"/>
        </w:tblBorders>
        <w:tblLayout w:type="fixed"/>
        <w:tblLook w:val="04A0" w:firstRow="1" w:lastRow="0" w:firstColumn="1" w:lastColumn="0" w:noHBand="0" w:noVBand="1"/>
      </w:tblPr>
      <w:tblGrid>
        <w:gridCol w:w="4819"/>
        <w:gridCol w:w="4819"/>
      </w:tblGrid>
      <w:tr w:rsidR="000B638A" w14:paraId="43EBFF00" w14:textId="77777777">
        <w:trPr>
          <w:jc w:val="center"/>
        </w:trPr>
        <w:tc>
          <w:tcPr>
            <w:tcW w:w="4819" w:type="dxa"/>
            <w:shd w:val="clear" w:color="auto" w:fill="EAF7FA"/>
          </w:tcPr>
          <w:p w14:paraId="7C5FC094" w14:textId="77777777" w:rsidR="000B638A" w:rsidRDefault="008F23F5">
            <w:r>
              <w:rPr>
                <w:b/>
                <w:color w:val="2F66B3"/>
                <w:sz w:val="22"/>
              </w:rPr>
              <w:t>JOURNAL OF APPLIED SCIENCE AND TECHNOLOGY IN ENGINEERING</w:t>
            </w:r>
            <w:r>
              <w:br/>
            </w:r>
            <w:r>
              <w:rPr>
                <w:color w:val="666666"/>
                <w:sz w:val="16"/>
              </w:rPr>
              <w:t>Published by Arete Litera under PT Arete Mahardika Saqhi</w:t>
            </w:r>
          </w:p>
        </w:tc>
        <w:tc>
          <w:tcPr>
            <w:tcW w:w="4819" w:type="dxa"/>
            <w:shd w:val="clear" w:color="auto" w:fill="2F66B3"/>
          </w:tcPr>
          <w:p w14:paraId="006BD58C" w14:textId="77777777" w:rsidR="000B638A" w:rsidRDefault="008F23F5">
            <w:pPr>
              <w:jc w:val="right"/>
            </w:pPr>
            <w:r>
              <w:rPr>
                <w:b/>
                <w:color w:val="FFFFFF"/>
                <w:sz w:val="16"/>
              </w:rPr>
              <w:t>Vol. 1, No. 1</w:t>
            </w:r>
            <w:r>
              <w:rPr>
                <w:b/>
                <w:color w:val="FFFFFF"/>
                <w:sz w:val="16"/>
              </w:rPr>
              <w:br/>
              <w:t>February 2026</w:t>
            </w:r>
            <w:r>
              <w:rPr>
                <w:b/>
                <w:color w:val="FFFFFF"/>
                <w:sz w:val="16"/>
              </w:rPr>
              <w:br/>
              <w:t>P-ISSN: XXXX-XXXX</w:t>
            </w:r>
            <w:r>
              <w:rPr>
                <w:b/>
                <w:color w:val="FFFFFF"/>
                <w:sz w:val="16"/>
              </w:rPr>
              <w:br/>
              <w:t>E-ISSN: XXXX-XXXX</w:t>
            </w:r>
          </w:p>
        </w:tc>
      </w:tr>
    </w:tbl>
    <w:p w14:paraId="4FA2841C" w14:textId="77777777" w:rsidR="000B638A" w:rsidRDefault="008F23F5">
      <w:pPr>
        <w:spacing w:before="200" w:after="120"/>
        <w:jc w:val="center"/>
      </w:pPr>
      <w:r>
        <w:rPr>
          <w:b/>
          <w:color w:val="111111"/>
          <w:sz w:val="28"/>
        </w:rPr>
        <w:t xml:space="preserve">Machine Learning-Based Sentiment Classification for Detecting </w:t>
      </w:r>
      <w:r>
        <w:rPr>
          <w:b/>
          <w:color w:val="111111"/>
          <w:sz w:val="28"/>
        </w:rPr>
        <w:t>Financial Misinformation on Social Media</w:t>
      </w:r>
    </w:p>
    <w:p w14:paraId="28B2F4B3" w14:textId="77777777" w:rsidR="000B638A" w:rsidRDefault="008F23F5">
      <w:pPr>
        <w:jc w:val="center"/>
      </w:pPr>
      <w:r>
        <w:rPr>
          <w:b/>
          <w:color w:val="111111"/>
        </w:rPr>
        <w:t>Robert Situmorang¹* and Yunus Yulianus¹</w:t>
      </w:r>
    </w:p>
    <w:p w14:paraId="74623849" w14:textId="77777777" w:rsidR="000B638A" w:rsidRDefault="008F23F5">
      <w:pPr>
        <w:jc w:val="center"/>
      </w:pPr>
      <w:r>
        <w:rPr>
          <w:i/>
          <w:color w:val="666666"/>
          <w:sz w:val="18"/>
        </w:rPr>
        <w:t>¹ Universitas Pamulang, Indonesia</w:t>
      </w:r>
    </w:p>
    <w:p w14:paraId="771650BC" w14:textId="77777777" w:rsidR="000B638A" w:rsidRDefault="008F23F5">
      <w:pPr>
        <w:jc w:val="center"/>
      </w:pPr>
      <w:r>
        <w:rPr>
          <w:color w:val="2F66B3"/>
          <w:sz w:val="18"/>
        </w:rPr>
        <w:t>*Corresponding author: rsitumorang598@gmail.com; yunusyulianus035@gmail.com</w:t>
      </w:r>
    </w:p>
    <w:tbl>
      <w:tblPr>
        <w:tblW w:w="0" w:type="auto"/>
        <w:jc w:val="center"/>
        <w:tblBorders>
          <w:top w:val="single" w:sz="4" w:space="0" w:color="AFC3E0"/>
          <w:left w:val="single" w:sz="4" w:space="0" w:color="AFC3E0"/>
          <w:bottom w:val="single" w:sz="4" w:space="0" w:color="AFC3E0"/>
          <w:right w:val="single" w:sz="4" w:space="0" w:color="AFC3E0"/>
          <w:insideH w:val="single" w:sz="4" w:space="0" w:color="AFC3E0"/>
          <w:insideV w:val="single" w:sz="4" w:space="0" w:color="AFC3E0"/>
        </w:tblBorders>
        <w:tblLayout w:type="fixed"/>
        <w:tblLook w:val="04A0" w:firstRow="1" w:lastRow="0" w:firstColumn="1" w:lastColumn="0" w:noHBand="0" w:noVBand="1"/>
      </w:tblPr>
      <w:tblGrid>
        <w:gridCol w:w="2409"/>
        <w:gridCol w:w="2409"/>
        <w:gridCol w:w="2409"/>
        <w:gridCol w:w="2409"/>
      </w:tblGrid>
      <w:tr w:rsidR="000B638A" w14:paraId="346F1A48" w14:textId="77777777">
        <w:trPr>
          <w:jc w:val="center"/>
        </w:trPr>
        <w:tc>
          <w:tcPr>
            <w:tcW w:w="2409" w:type="dxa"/>
            <w:shd w:val="clear" w:color="auto" w:fill="F1F3F6"/>
          </w:tcPr>
          <w:p w14:paraId="2E244531" w14:textId="77777777" w:rsidR="000B638A" w:rsidRDefault="008F23F5">
            <w:r>
              <w:rPr>
                <w:b/>
                <w:color w:val="2F66B3"/>
                <w:sz w:val="16"/>
              </w:rPr>
              <w:t>Received</w:t>
            </w:r>
          </w:p>
        </w:tc>
        <w:tc>
          <w:tcPr>
            <w:tcW w:w="2409" w:type="dxa"/>
          </w:tcPr>
          <w:p w14:paraId="407F3D3F" w14:textId="77777777" w:rsidR="000B638A" w:rsidRDefault="008F23F5">
            <w:r>
              <w:rPr>
                <w:color w:val="666666"/>
                <w:sz w:val="16"/>
              </w:rPr>
              <w:t>DD Month 2026</w:t>
            </w:r>
          </w:p>
        </w:tc>
        <w:tc>
          <w:tcPr>
            <w:tcW w:w="2409" w:type="dxa"/>
            <w:shd w:val="clear" w:color="auto" w:fill="F1F3F6"/>
          </w:tcPr>
          <w:p w14:paraId="6C5D688F" w14:textId="77777777" w:rsidR="000B638A" w:rsidRDefault="008F23F5">
            <w:r>
              <w:rPr>
                <w:b/>
                <w:color w:val="2F66B3"/>
                <w:sz w:val="16"/>
              </w:rPr>
              <w:t>Revised</w:t>
            </w:r>
          </w:p>
        </w:tc>
        <w:tc>
          <w:tcPr>
            <w:tcW w:w="2409" w:type="dxa"/>
          </w:tcPr>
          <w:p w14:paraId="56812B83" w14:textId="77777777" w:rsidR="000B638A" w:rsidRDefault="008F23F5">
            <w:r>
              <w:rPr>
                <w:color w:val="666666"/>
                <w:sz w:val="16"/>
              </w:rPr>
              <w:t>DD Month 2026</w:t>
            </w:r>
          </w:p>
        </w:tc>
      </w:tr>
      <w:tr w:rsidR="000B638A" w14:paraId="5397AF07" w14:textId="77777777">
        <w:trPr>
          <w:jc w:val="center"/>
        </w:trPr>
        <w:tc>
          <w:tcPr>
            <w:tcW w:w="2409" w:type="dxa"/>
            <w:shd w:val="clear" w:color="auto" w:fill="F1F3F6"/>
          </w:tcPr>
          <w:p w14:paraId="254FFFE5" w14:textId="77777777" w:rsidR="000B638A" w:rsidRDefault="008F23F5">
            <w:r>
              <w:rPr>
                <w:b/>
                <w:color w:val="2F66B3"/>
                <w:sz w:val="16"/>
              </w:rPr>
              <w:t>Accepted</w:t>
            </w:r>
          </w:p>
        </w:tc>
        <w:tc>
          <w:tcPr>
            <w:tcW w:w="2409" w:type="dxa"/>
          </w:tcPr>
          <w:p w14:paraId="0918AF77" w14:textId="77777777" w:rsidR="000B638A" w:rsidRDefault="008F23F5">
            <w:r>
              <w:rPr>
                <w:color w:val="666666"/>
                <w:sz w:val="16"/>
              </w:rPr>
              <w:t xml:space="preserve">DD </w:t>
            </w:r>
            <w:r>
              <w:rPr>
                <w:color w:val="666666"/>
                <w:sz w:val="16"/>
              </w:rPr>
              <w:t>Month 2026</w:t>
            </w:r>
          </w:p>
        </w:tc>
        <w:tc>
          <w:tcPr>
            <w:tcW w:w="2409" w:type="dxa"/>
            <w:shd w:val="clear" w:color="auto" w:fill="F1F3F6"/>
          </w:tcPr>
          <w:p w14:paraId="13100F59" w14:textId="77777777" w:rsidR="000B638A" w:rsidRDefault="008F23F5">
            <w:r>
              <w:rPr>
                <w:b/>
                <w:color w:val="2F66B3"/>
                <w:sz w:val="16"/>
              </w:rPr>
              <w:t>Published</w:t>
            </w:r>
          </w:p>
        </w:tc>
        <w:tc>
          <w:tcPr>
            <w:tcW w:w="2409" w:type="dxa"/>
          </w:tcPr>
          <w:p w14:paraId="6A2975C3" w14:textId="77777777" w:rsidR="000B638A" w:rsidRDefault="008F23F5">
            <w:r>
              <w:rPr>
                <w:color w:val="666666"/>
                <w:sz w:val="16"/>
              </w:rPr>
              <w:t>DD Month 2026</w:t>
            </w:r>
          </w:p>
        </w:tc>
      </w:tr>
    </w:tbl>
    <w:p w14:paraId="7D227CAD" w14:textId="77777777" w:rsidR="000B638A" w:rsidRDefault="008F23F5">
      <w:pPr>
        <w:pStyle w:val="JASTEH1"/>
      </w:pPr>
      <w:r>
        <w:t>ABSTRACT</w:t>
      </w:r>
    </w:p>
    <w:p w14:paraId="2F15F096" w14:textId="77777777" w:rsidR="000B638A" w:rsidRDefault="008F23F5">
      <w:pPr>
        <w:spacing w:after="60"/>
        <w:jc w:val="both"/>
      </w:pPr>
      <w:r>
        <w:rPr>
          <w:i/>
          <w:color w:val="111111"/>
        </w:rPr>
        <w:t>Financial misinformation on social media is difficult to identify because misleading posts often combine emotionally charged language, incomplete evidence, promotional claims, and technically plausible financial</w:t>
      </w:r>
      <w:r>
        <w:rPr>
          <w:i/>
          <w:color w:val="111111"/>
        </w:rPr>
        <w:t xml:space="preserve"> terminology. This conceptual technical review examines how machine-learning sentiment classification can be incorporated into a broader detection pipeline for financial misinformation. The review synthesizes literature on financial-domain language models,</w:t>
      </w:r>
      <w:r>
        <w:rPr>
          <w:i/>
          <w:color w:val="111111"/>
        </w:rPr>
        <w:t xml:space="preserve"> deception detection, sentiment analysis, feature engineering, and human-in-the-loop verification. It proposes a modular architecture consisting of data acquisition, text normalization, financial sentiment representation, misinformation-risk classification</w:t>
      </w:r>
      <w:r>
        <w:rPr>
          <w:i/>
          <w:color w:val="111111"/>
        </w:rPr>
        <w:t>, explanation, and reviewer escalation. The analysis shows that sentiment is useful as a contextual signal but is insufficient as a stand-alone indicator because legitimate financial communication may also be strongly positive or negative. Robust systems s</w:t>
      </w:r>
      <w:r>
        <w:rPr>
          <w:i/>
          <w:color w:val="111111"/>
        </w:rPr>
        <w:t>hould combine contextual embeddings, source and propagation features, claim-evidence consistency, calibration, and explainable outputs. Evaluation should report precision, recall, F1-score, area under the curve, calibration error, and performance across to</w:t>
      </w:r>
      <w:r>
        <w:rPr>
          <w:i/>
          <w:color w:val="111111"/>
        </w:rPr>
        <w:t>pics and time periods. The proposed architecture provides an engineering-oriented foundation for developing transparent financial misinformation screening systems without treating automated classification as a substitute for professional verification.</w:t>
      </w:r>
    </w:p>
    <w:p w14:paraId="77BB6828" w14:textId="77777777" w:rsidR="000B638A" w:rsidRDefault="008F23F5">
      <w:r>
        <w:rPr>
          <w:b/>
          <w:color w:val="2F66B3"/>
          <w:sz w:val="18"/>
        </w:rPr>
        <w:t>Keyw</w:t>
      </w:r>
      <w:r>
        <w:rPr>
          <w:b/>
          <w:color w:val="2F66B3"/>
          <w:sz w:val="18"/>
        </w:rPr>
        <w:t xml:space="preserve">ords: </w:t>
      </w:r>
      <w:r>
        <w:rPr>
          <w:i/>
          <w:color w:val="111111"/>
          <w:sz w:val="18"/>
        </w:rPr>
        <w:t>financial misinformation; sentiment classification; machine learning; social media; explainable artificial intelligence</w:t>
      </w:r>
    </w:p>
    <w:p w14:paraId="6B97B32D" w14:textId="77777777" w:rsidR="000B638A" w:rsidRDefault="008F23F5">
      <w:pPr>
        <w:pStyle w:val="JASTEH1"/>
      </w:pPr>
      <w:r>
        <w:t>1. INTRODUCTION</w:t>
      </w:r>
    </w:p>
    <w:p w14:paraId="35C1ADE0" w14:textId="77777777" w:rsidR="000B638A" w:rsidRDefault="008F23F5">
      <w:pPr>
        <w:spacing w:after="80"/>
        <w:jc w:val="both"/>
      </w:pPr>
      <w:r>
        <w:rPr>
          <w:color w:val="111111"/>
        </w:rPr>
        <w:t xml:space="preserve">Social-media platforms have lowered the cost of publishing and redistributing financial information. The same </w:t>
      </w:r>
      <w:r>
        <w:rPr>
          <w:color w:val="111111"/>
        </w:rPr>
        <w:t>infrastructure that supports investor education can also amplify unsupported investment claims, deceptive promotions, manipulated narratives, and coordinated market rumors, which can propagate farther and faster online than accurate information (Vosoughi e</w:t>
      </w:r>
      <w:r>
        <w:rPr>
          <w:color w:val="111111"/>
        </w:rPr>
        <w:t>t al., 2018; Pennycook &amp; Rand, 2021). Automated screening is therefore an information-engineering problem involving language understanding, classification under uncertainty, and responsible human oversight.</w:t>
      </w:r>
    </w:p>
    <w:p w14:paraId="62382CD6" w14:textId="77777777" w:rsidR="000B638A" w:rsidRDefault="008F23F5">
      <w:pPr>
        <w:spacing w:after="80"/>
        <w:jc w:val="both"/>
      </w:pPr>
      <w:r>
        <w:rPr>
          <w:color w:val="111111"/>
        </w:rPr>
        <w:t>Sentiment classification is frequently used to tr</w:t>
      </w:r>
      <w:r>
        <w:rPr>
          <w:color w:val="111111"/>
        </w:rPr>
        <w:t>ansform text into positive, negative, or neutral categories, and domain-adapted language models have improved this task considerably in financial text (Araci, 2019; Huang et al., 2023). In financial communication, however, polarity alone cannot establish t</w:t>
      </w:r>
      <w:r>
        <w:rPr>
          <w:color w:val="111111"/>
        </w:rPr>
        <w:t xml:space="preserve">ruthfulness. Strong optimism may reflect legitimate earnings information, while negative language may accurately describe risk, since general-purpose sentiment dictionaries frequently mislabel ordinary financial and legal terminology as negative (Loughran </w:t>
      </w:r>
      <w:r>
        <w:rPr>
          <w:color w:val="111111"/>
        </w:rPr>
        <w:t>&amp; McDonald, 2011). A detection system must distinguish emotional orientation from evidential reliability and should use sentiment as one component within a multi-signal architecture.</w:t>
      </w:r>
    </w:p>
    <w:p w14:paraId="201CEC01" w14:textId="77777777" w:rsidR="000B638A" w:rsidRDefault="008F23F5">
      <w:pPr>
        <w:pStyle w:val="JASTEH1"/>
      </w:pPr>
      <w:r>
        <w:t>2. BACKGROUND AND PROBLEM FORMULATION</w:t>
      </w:r>
    </w:p>
    <w:p w14:paraId="1096A92C" w14:textId="77777777" w:rsidR="000B638A" w:rsidRDefault="008F23F5">
      <w:pPr>
        <w:spacing w:after="80"/>
        <w:jc w:val="both"/>
      </w:pPr>
      <w:r>
        <w:rPr>
          <w:color w:val="111111"/>
        </w:rPr>
        <w:t>The engineering problem addressed i</w:t>
      </w:r>
      <w:r>
        <w:rPr>
          <w:color w:val="111111"/>
        </w:rPr>
        <w:t>n this article concerns financial-information integrity on social-media platforms, where coordinated posting has been linked to schemes such as pump-and-dump price manipulation (Nam &amp; Skillicorn, 2023). The central difficulty is that misleading financial p</w:t>
      </w:r>
      <w:r>
        <w:rPr>
          <w:color w:val="111111"/>
        </w:rPr>
        <w:t>osts mix emotional language, promotional claims, and context-dependent terminology. A useful design must therefore separate observable signals from interpretation, document uncertainty, and preserve a clear route for human verification. The proposed contri</w:t>
      </w:r>
      <w:r>
        <w:rPr>
          <w:color w:val="111111"/>
        </w:rPr>
        <w:t>bution is a human-supervised machine-learning screening pipeline, expressed as a testable architecture rather than as a claim of completed field performance.</w:t>
      </w:r>
    </w:p>
    <w:p w14:paraId="7EE4C968" w14:textId="77777777" w:rsidR="000B638A" w:rsidRDefault="008F23F5">
      <w:pPr>
        <w:spacing w:after="80"/>
        <w:jc w:val="both"/>
      </w:pPr>
      <w:r>
        <w:rPr>
          <w:color w:val="111111"/>
        </w:rPr>
        <w:t>The intended evidence base combines peer-reviewed technical studies, recognised evaluation practic</w:t>
      </w:r>
      <w:r>
        <w:rPr>
          <w:color w:val="111111"/>
        </w:rPr>
        <w:t xml:space="preserve">es, and implementation constraints reported for comparable systems. The synthesis treats public posts, captions, hashtags, source metadata, timestamps, engagement signals, and verified contextual references as potential inputs whose </w:t>
      </w:r>
      <w:r>
        <w:rPr>
          <w:color w:val="111111"/>
        </w:rPr>
        <w:lastRenderedPageBreak/>
        <w:t xml:space="preserve">availability, quality, </w:t>
      </w:r>
      <w:r>
        <w:rPr>
          <w:color w:val="111111"/>
        </w:rPr>
        <w:t>legality, and relevance must be assessed before use. No input is assumed to be complete or intrinsically trustworthy; provenance and quality controls are part of the system boundary.</w:t>
      </w:r>
    </w:p>
    <w:p w14:paraId="2A0FA57A" w14:textId="77777777" w:rsidR="000B638A" w:rsidRDefault="008F23F5">
      <w:pPr>
        <w:spacing w:after="80"/>
        <w:jc w:val="both"/>
      </w:pPr>
      <w:r>
        <w:rPr>
          <w:color w:val="111111"/>
        </w:rPr>
        <w:t>The main design layers are data governance, language normalization, domai</w:t>
      </w:r>
      <w:r>
        <w:rPr>
          <w:color w:val="111111"/>
        </w:rPr>
        <w:t>n-adapted representation, sentiment and uncertainty estimation, misinformation-risk scoring, explanation, and reviewer escalation. These layers are connected by explicit interfaces so that a failure can be traced to acquisition, processing, decision logic,</w:t>
      </w:r>
      <w:r>
        <w:rPr>
          <w:color w:val="111111"/>
        </w:rPr>
        <w:t xml:space="preserve"> user interaction, or governance. This decomposition also supports modular testing: one component can be replaced or recalibrated without treating the entire pipeline as an unexplained black box.</w:t>
      </w:r>
    </w:p>
    <w:p w14:paraId="354BF530" w14:textId="77777777" w:rsidR="000B638A" w:rsidRDefault="008F23F5">
      <w:pPr>
        <w:spacing w:after="80"/>
        <w:jc w:val="both"/>
      </w:pPr>
      <w:r>
        <w:rPr>
          <w:color w:val="111111"/>
        </w:rPr>
        <w:t xml:space="preserve">The framework is intended for financial-literacy educators, </w:t>
      </w:r>
      <w:r>
        <w:rPr>
          <w:color w:val="111111"/>
        </w:rPr>
        <w:t>platform moderators, compliance teams, researchers, and trained human reviewers. Their needs are not identical. Technical personnel require reproducibility and observability, domain professionals require interpretable and bounded outputs, administrators re</w:t>
      </w:r>
      <w:r>
        <w:rPr>
          <w:color w:val="111111"/>
        </w:rPr>
        <w:t>quire accountability and maintainability, and end users require accessible interaction and protection from avoidable harm. Requirements should therefore be negotiated across stakeholders before prototype development.</w:t>
      </w:r>
    </w:p>
    <w:p w14:paraId="3E0A114C" w14:textId="77777777" w:rsidR="000B638A" w:rsidRDefault="008F23F5">
      <w:pPr>
        <w:spacing w:before="100" w:after="60"/>
        <w:jc w:val="center"/>
      </w:pPr>
      <w:r>
        <w:rPr>
          <w:b/>
          <w:color w:val="111111"/>
          <w:sz w:val="18"/>
        </w:rPr>
        <w:t xml:space="preserve">Table 1. Problem Context and </w:t>
      </w:r>
      <w:r>
        <w:rPr>
          <w:b/>
          <w:color w:val="111111"/>
          <w:sz w:val="18"/>
        </w:rPr>
        <w:t>Design Response</w:t>
      </w:r>
    </w:p>
    <w:tbl>
      <w:tblPr>
        <w:tblW w:w="0" w:type="auto"/>
        <w:jc w:val="center"/>
        <w:tblBorders>
          <w:top w:val="single" w:sz="4" w:space="0" w:color="AFC3E0"/>
          <w:left w:val="single" w:sz="4" w:space="0" w:color="AFC3E0"/>
          <w:bottom w:val="single" w:sz="4" w:space="0" w:color="AFC3E0"/>
          <w:right w:val="single" w:sz="4" w:space="0" w:color="AFC3E0"/>
          <w:insideH w:val="single" w:sz="4" w:space="0" w:color="AFC3E0"/>
          <w:insideV w:val="single" w:sz="4" w:space="0" w:color="AFC3E0"/>
        </w:tblBorders>
        <w:tblLayout w:type="fixed"/>
        <w:tblLook w:val="04A0" w:firstRow="1" w:lastRow="0" w:firstColumn="1" w:lastColumn="0" w:noHBand="0" w:noVBand="1"/>
      </w:tblPr>
      <w:tblGrid>
        <w:gridCol w:w="3213"/>
        <w:gridCol w:w="3213"/>
        <w:gridCol w:w="3213"/>
      </w:tblGrid>
      <w:tr w:rsidR="000B638A" w14:paraId="61F14362" w14:textId="77777777">
        <w:trPr>
          <w:jc w:val="center"/>
        </w:trPr>
        <w:tc>
          <w:tcPr>
            <w:tcW w:w="3213" w:type="dxa"/>
            <w:shd w:val="clear" w:color="auto" w:fill="2F66B3"/>
          </w:tcPr>
          <w:p w14:paraId="234668CD" w14:textId="77777777" w:rsidR="000B638A" w:rsidRDefault="008F23F5">
            <w:pPr>
              <w:jc w:val="center"/>
            </w:pPr>
            <w:r>
              <w:rPr>
                <w:b/>
                <w:color w:val="FFFFFF"/>
                <w:sz w:val="15"/>
              </w:rPr>
              <w:t>Dimension</w:t>
            </w:r>
          </w:p>
        </w:tc>
        <w:tc>
          <w:tcPr>
            <w:tcW w:w="3213" w:type="dxa"/>
            <w:shd w:val="clear" w:color="auto" w:fill="2F66B3"/>
          </w:tcPr>
          <w:p w14:paraId="5F2F524B" w14:textId="77777777" w:rsidR="000B638A" w:rsidRDefault="008F23F5">
            <w:pPr>
              <w:jc w:val="center"/>
            </w:pPr>
            <w:r>
              <w:rPr>
                <w:b/>
                <w:color w:val="FFFFFF"/>
                <w:sz w:val="15"/>
              </w:rPr>
              <w:t>Engineering concern</w:t>
            </w:r>
          </w:p>
        </w:tc>
        <w:tc>
          <w:tcPr>
            <w:tcW w:w="3213" w:type="dxa"/>
            <w:shd w:val="clear" w:color="auto" w:fill="2F66B3"/>
          </w:tcPr>
          <w:p w14:paraId="3574EE93" w14:textId="77777777" w:rsidR="000B638A" w:rsidRDefault="008F23F5">
            <w:pPr>
              <w:jc w:val="center"/>
            </w:pPr>
            <w:r>
              <w:rPr>
                <w:b/>
                <w:color w:val="FFFFFF"/>
                <w:sz w:val="15"/>
              </w:rPr>
              <w:t>Required response</w:t>
            </w:r>
          </w:p>
        </w:tc>
      </w:tr>
      <w:tr w:rsidR="000B638A" w14:paraId="2AB78988" w14:textId="77777777">
        <w:trPr>
          <w:jc w:val="center"/>
        </w:trPr>
        <w:tc>
          <w:tcPr>
            <w:tcW w:w="3213" w:type="dxa"/>
            <w:vAlign w:val="center"/>
          </w:tcPr>
          <w:p w14:paraId="7FB2F977" w14:textId="77777777" w:rsidR="000B638A" w:rsidRDefault="008F23F5">
            <w:pPr>
              <w:spacing w:after="0"/>
            </w:pPr>
            <w:r>
              <w:rPr>
                <w:color w:val="111111"/>
                <w:sz w:val="15"/>
              </w:rPr>
              <w:t>Evidence</w:t>
            </w:r>
          </w:p>
        </w:tc>
        <w:tc>
          <w:tcPr>
            <w:tcW w:w="3213" w:type="dxa"/>
            <w:vAlign w:val="center"/>
          </w:tcPr>
          <w:p w14:paraId="10193588" w14:textId="77777777" w:rsidR="000B638A" w:rsidRDefault="008F23F5">
            <w:pPr>
              <w:spacing w:after="0"/>
            </w:pPr>
            <w:r>
              <w:rPr>
                <w:color w:val="111111"/>
                <w:sz w:val="15"/>
              </w:rPr>
              <w:t>Incomplete or context-dependent inputs</w:t>
            </w:r>
          </w:p>
        </w:tc>
        <w:tc>
          <w:tcPr>
            <w:tcW w:w="3213" w:type="dxa"/>
            <w:vAlign w:val="center"/>
          </w:tcPr>
          <w:p w14:paraId="32275A14" w14:textId="77777777" w:rsidR="000B638A" w:rsidRDefault="008F23F5">
            <w:pPr>
              <w:spacing w:after="0"/>
            </w:pPr>
            <w:r>
              <w:rPr>
                <w:color w:val="111111"/>
                <w:sz w:val="15"/>
              </w:rPr>
              <w:t>Provenance and quality controls</w:t>
            </w:r>
          </w:p>
        </w:tc>
      </w:tr>
      <w:tr w:rsidR="000B638A" w14:paraId="46D311FE" w14:textId="77777777">
        <w:trPr>
          <w:jc w:val="center"/>
        </w:trPr>
        <w:tc>
          <w:tcPr>
            <w:tcW w:w="3213" w:type="dxa"/>
            <w:vAlign w:val="center"/>
          </w:tcPr>
          <w:p w14:paraId="5E23FF32" w14:textId="77777777" w:rsidR="000B638A" w:rsidRDefault="008F23F5">
            <w:pPr>
              <w:spacing w:after="0"/>
            </w:pPr>
            <w:r>
              <w:rPr>
                <w:color w:val="111111"/>
                <w:sz w:val="15"/>
              </w:rPr>
              <w:t>Processing</w:t>
            </w:r>
          </w:p>
        </w:tc>
        <w:tc>
          <w:tcPr>
            <w:tcW w:w="3213" w:type="dxa"/>
            <w:vAlign w:val="center"/>
          </w:tcPr>
          <w:p w14:paraId="2602045F" w14:textId="77777777" w:rsidR="000B638A" w:rsidRDefault="008F23F5">
            <w:pPr>
              <w:spacing w:after="0"/>
            </w:pPr>
            <w:r>
              <w:rPr>
                <w:color w:val="111111"/>
                <w:sz w:val="15"/>
              </w:rPr>
              <w:t>Version-sensitive transformations</w:t>
            </w:r>
          </w:p>
        </w:tc>
        <w:tc>
          <w:tcPr>
            <w:tcW w:w="3213" w:type="dxa"/>
            <w:vAlign w:val="center"/>
          </w:tcPr>
          <w:p w14:paraId="366E76DF" w14:textId="77777777" w:rsidR="000B638A" w:rsidRDefault="008F23F5">
            <w:pPr>
              <w:spacing w:after="0"/>
            </w:pPr>
            <w:r>
              <w:rPr>
                <w:color w:val="111111"/>
                <w:sz w:val="15"/>
              </w:rPr>
              <w:t>Observable modular services</w:t>
            </w:r>
          </w:p>
        </w:tc>
      </w:tr>
      <w:tr w:rsidR="000B638A" w14:paraId="4A9C2EA6" w14:textId="77777777">
        <w:trPr>
          <w:jc w:val="center"/>
        </w:trPr>
        <w:tc>
          <w:tcPr>
            <w:tcW w:w="3213" w:type="dxa"/>
            <w:vAlign w:val="center"/>
          </w:tcPr>
          <w:p w14:paraId="2A6613F8" w14:textId="77777777" w:rsidR="000B638A" w:rsidRDefault="008F23F5">
            <w:pPr>
              <w:spacing w:after="0"/>
            </w:pPr>
            <w:r>
              <w:rPr>
                <w:color w:val="111111"/>
                <w:sz w:val="15"/>
              </w:rPr>
              <w:t>Decision</w:t>
            </w:r>
          </w:p>
        </w:tc>
        <w:tc>
          <w:tcPr>
            <w:tcW w:w="3213" w:type="dxa"/>
            <w:vAlign w:val="center"/>
          </w:tcPr>
          <w:p w14:paraId="2918CAA4" w14:textId="77777777" w:rsidR="000B638A" w:rsidRDefault="008F23F5">
            <w:pPr>
              <w:spacing w:after="0"/>
            </w:pPr>
            <w:r>
              <w:rPr>
                <w:color w:val="111111"/>
                <w:sz w:val="15"/>
              </w:rPr>
              <w:t xml:space="preserve">Uncertainty and </w:t>
            </w:r>
            <w:r>
              <w:rPr>
                <w:color w:val="111111"/>
                <w:sz w:val="15"/>
              </w:rPr>
              <w:t>asymmetric error costs</w:t>
            </w:r>
          </w:p>
        </w:tc>
        <w:tc>
          <w:tcPr>
            <w:tcW w:w="3213" w:type="dxa"/>
            <w:vAlign w:val="center"/>
          </w:tcPr>
          <w:p w14:paraId="3722BC3D" w14:textId="77777777" w:rsidR="000B638A" w:rsidRDefault="008F23F5">
            <w:pPr>
              <w:spacing w:after="0"/>
            </w:pPr>
            <w:r>
              <w:rPr>
                <w:color w:val="111111"/>
                <w:sz w:val="15"/>
              </w:rPr>
              <w:t>Calibration, abstention, escalation</w:t>
            </w:r>
          </w:p>
        </w:tc>
      </w:tr>
      <w:tr w:rsidR="000B638A" w14:paraId="385FA704" w14:textId="77777777">
        <w:trPr>
          <w:jc w:val="center"/>
        </w:trPr>
        <w:tc>
          <w:tcPr>
            <w:tcW w:w="3213" w:type="dxa"/>
            <w:vAlign w:val="center"/>
          </w:tcPr>
          <w:p w14:paraId="64B682E0" w14:textId="77777777" w:rsidR="000B638A" w:rsidRDefault="008F23F5">
            <w:pPr>
              <w:spacing w:after="0"/>
            </w:pPr>
            <w:r>
              <w:rPr>
                <w:color w:val="111111"/>
                <w:sz w:val="15"/>
              </w:rPr>
              <w:t>Use</w:t>
            </w:r>
          </w:p>
        </w:tc>
        <w:tc>
          <w:tcPr>
            <w:tcW w:w="3213" w:type="dxa"/>
            <w:vAlign w:val="center"/>
          </w:tcPr>
          <w:p w14:paraId="48C7ACC8" w14:textId="77777777" w:rsidR="000B638A" w:rsidRDefault="008F23F5">
            <w:pPr>
              <w:spacing w:after="0"/>
            </w:pPr>
            <w:r>
              <w:rPr>
                <w:color w:val="111111"/>
                <w:sz w:val="15"/>
              </w:rPr>
              <w:t>Different stakeholder needs</w:t>
            </w:r>
          </w:p>
        </w:tc>
        <w:tc>
          <w:tcPr>
            <w:tcW w:w="3213" w:type="dxa"/>
            <w:vAlign w:val="center"/>
          </w:tcPr>
          <w:p w14:paraId="2F3C5397" w14:textId="77777777" w:rsidR="000B638A" w:rsidRDefault="008F23F5">
            <w:pPr>
              <w:spacing w:after="0"/>
            </w:pPr>
            <w:r>
              <w:rPr>
                <w:color w:val="111111"/>
                <w:sz w:val="15"/>
              </w:rPr>
              <w:t>Role-based and accessible interfaces</w:t>
            </w:r>
          </w:p>
        </w:tc>
      </w:tr>
    </w:tbl>
    <w:p w14:paraId="48971227" w14:textId="77777777" w:rsidR="000B638A" w:rsidRDefault="008F23F5">
      <w:pPr>
        <w:spacing w:after="80"/>
        <w:jc w:val="both"/>
      </w:pPr>
      <w:r>
        <w:rPr>
          <w:color w:val="111111"/>
        </w:rPr>
        <w:t>A requirements baseline should translate this problem formulation into verifiable statements. For financial-information integr</w:t>
      </w:r>
      <w:r>
        <w:rPr>
          <w:color w:val="111111"/>
        </w:rPr>
        <w:t xml:space="preserve">ity on social-media platforms, each requirement should identify the triggering condition, expected response, measurable acceptance criterion, and responsible reviewer. Traceability is important because later changes to data, software, devices, or workflow </w:t>
      </w:r>
      <w:r>
        <w:rPr>
          <w:color w:val="111111"/>
        </w:rPr>
        <w:t>can otherwise disconnect implementation from the original purpose. The baseline should also record explicit non-goals so that users do not infer unsupported functions from the presence of an advanced technical component.</w:t>
      </w:r>
    </w:p>
    <w:p w14:paraId="66A049DE" w14:textId="77777777" w:rsidR="000B638A" w:rsidRDefault="008F23F5">
      <w:pPr>
        <w:pStyle w:val="JASTEH1"/>
      </w:pPr>
      <w:r>
        <w:t>3. REVIEW METHOD</w:t>
      </w:r>
    </w:p>
    <w:p w14:paraId="2E3EB279" w14:textId="77777777" w:rsidR="000B638A" w:rsidRDefault="008F23F5">
      <w:pPr>
        <w:spacing w:after="80"/>
        <w:jc w:val="both"/>
      </w:pPr>
      <w:r>
        <w:rPr>
          <w:color w:val="111111"/>
        </w:rPr>
        <w:t>A structured narra</w:t>
      </w:r>
      <w:r>
        <w:rPr>
          <w:color w:val="111111"/>
        </w:rPr>
        <w:t>tive review was conducted using peer-reviewed studies and benchmark literature concerning financial natural-language processing, misinformation detection, deception theory, and machine-learning evaluation. Sources were selected for their direct contributio</w:t>
      </w:r>
      <w:r>
        <w:rPr>
          <w:color w:val="111111"/>
        </w:rPr>
        <w:t>n to system components rather than to estimate a pooled effect.</w:t>
      </w:r>
    </w:p>
    <w:p w14:paraId="3651AA38" w14:textId="77777777" w:rsidR="000B638A" w:rsidRDefault="008F23F5">
      <w:pPr>
        <w:spacing w:after="80"/>
        <w:jc w:val="both"/>
      </w:pPr>
      <w:r>
        <w:rPr>
          <w:color w:val="111111"/>
        </w:rPr>
        <w:t>The synthesis used four analytical categories: input data and preprocessing, representation and feature extraction, classification and calibration, and operational validation. Evidence was com</w:t>
      </w:r>
      <w:r>
        <w:rPr>
          <w:color w:val="111111"/>
        </w:rPr>
        <w:t>pared to identify functions that can be implemented reliably and functions that require human judgment.</w:t>
      </w:r>
    </w:p>
    <w:p w14:paraId="75FBED26" w14:textId="77777777" w:rsidR="000B638A" w:rsidRDefault="008F23F5">
      <w:pPr>
        <w:spacing w:after="80"/>
        <w:jc w:val="both"/>
      </w:pPr>
      <w:r>
        <w:rPr>
          <w:color w:val="111111"/>
        </w:rPr>
        <w:t>The analytical procedure used five stages: problem-boundary definition, extraction of technical requirements, mapping of system components, specificatio</w:t>
      </w:r>
      <w:r>
        <w:rPr>
          <w:color w:val="111111"/>
        </w:rPr>
        <w:t>n of evaluation criteria, and synthesis of implementation safeguards. Evidence was used to justify design choices and expose limitations; it was not pooled statistically because the included sources differ in tasks, data, devices, and outcome definitions.</w:t>
      </w:r>
    </w:p>
    <w:p w14:paraId="5CC5BD98" w14:textId="77777777" w:rsidR="000B638A" w:rsidRDefault="008F23F5">
      <w:pPr>
        <w:spacing w:after="80"/>
        <w:jc w:val="both"/>
      </w:pPr>
      <w:r>
        <w:rPr>
          <w:color w:val="111111"/>
        </w:rPr>
        <w:t>Quality appraisal prioritised clarity of the technical procedure, relevance to the proposed component, transparency of evaluation, and transferability to the intended context. Sources were treated as stronger when they documented data provenance, compariso</w:t>
      </w:r>
      <w:r>
        <w:rPr>
          <w:color w:val="111111"/>
        </w:rPr>
        <w:t>n conditions, limitations, and reproducible parameters. The review retains contradictory or cautionary evidence because implementation decisions require knowledge of failure conditions.</w:t>
      </w:r>
    </w:p>
    <w:p w14:paraId="2907548D" w14:textId="77777777" w:rsidR="000B638A" w:rsidRDefault="008F23F5">
      <w:pPr>
        <w:pStyle w:val="JASTEH2"/>
      </w:pPr>
      <w:r>
        <w:t>3.1 Review Questions</w:t>
      </w:r>
    </w:p>
    <w:p w14:paraId="19436105" w14:textId="77777777" w:rsidR="000B638A" w:rsidRDefault="008F23F5">
      <w:pPr>
        <w:spacing w:after="80"/>
        <w:jc w:val="both"/>
      </w:pPr>
      <w:r>
        <w:rPr>
          <w:color w:val="111111"/>
        </w:rPr>
        <w:t xml:space="preserve">The review asked four questions: What </w:t>
      </w:r>
      <w:r>
        <w:rPr>
          <w:color w:val="111111"/>
        </w:rPr>
        <w:t>information must the system acquire? How should processing and decision components exchange evidence? Which technical and human-centred measures are required for validation? What controls are necessary for responsible deployment and maintenance? These ques</w:t>
      </w:r>
      <w:r>
        <w:rPr>
          <w:color w:val="111111"/>
        </w:rPr>
        <w:t>tions provide traceability from the literature to the proposed framework.</w:t>
      </w:r>
    </w:p>
    <w:p w14:paraId="48EDAE58" w14:textId="77777777" w:rsidR="000B638A" w:rsidRDefault="008F23F5">
      <w:pPr>
        <w:spacing w:before="100" w:after="60"/>
        <w:jc w:val="center"/>
      </w:pPr>
      <w:r>
        <w:rPr>
          <w:b/>
          <w:color w:val="111111"/>
          <w:sz w:val="18"/>
        </w:rPr>
        <w:t>Table 2. Evidence-Extraction Framework</w:t>
      </w:r>
    </w:p>
    <w:tbl>
      <w:tblPr>
        <w:tblW w:w="0" w:type="auto"/>
        <w:jc w:val="center"/>
        <w:tblBorders>
          <w:top w:val="single" w:sz="4" w:space="0" w:color="AFC3E0"/>
          <w:left w:val="single" w:sz="4" w:space="0" w:color="AFC3E0"/>
          <w:bottom w:val="single" w:sz="4" w:space="0" w:color="AFC3E0"/>
          <w:right w:val="single" w:sz="4" w:space="0" w:color="AFC3E0"/>
          <w:insideH w:val="single" w:sz="4" w:space="0" w:color="AFC3E0"/>
          <w:insideV w:val="single" w:sz="4" w:space="0" w:color="AFC3E0"/>
        </w:tblBorders>
        <w:tblLayout w:type="fixed"/>
        <w:tblLook w:val="04A0" w:firstRow="1" w:lastRow="0" w:firstColumn="1" w:lastColumn="0" w:noHBand="0" w:noVBand="1"/>
      </w:tblPr>
      <w:tblGrid>
        <w:gridCol w:w="3213"/>
        <w:gridCol w:w="3213"/>
        <w:gridCol w:w="3213"/>
      </w:tblGrid>
      <w:tr w:rsidR="000B638A" w14:paraId="56D98955" w14:textId="77777777">
        <w:trPr>
          <w:jc w:val="center"/>
        </w:trPr>
        <w:tc>
          <w:tcPr>
            <w:tcW w:w="3213" w:type="dxa"/>
            <w:shd w:val="clear" w:color="auto" w:fill="2F66B3"/>
          </w:tcPr>
          <w:p w14:paraId="61464247" w14:textId="77777777" w:rsidR="000B638A" w:rsidRDefault="008F23F5">
            <w:pPr>
              <w:jc w:val="center"/>
            </w:pPr>
            <w:r>
              <w:rPr>
                <w:b/>
                <w:color w:val="FFFFFF"/>
                <w:sz w:val="15"/>
              </w:rPr>
              <w:t>Review question</w:t>
            </w:r>
          </w:p>
        </w:tc>
        <w:tc>
          <w:tcPr>
            <w:tcW w:w="3213" w:type="dxa"/>
            <w:shd w:val="clear" w:color="auto" w:fill="2F66B3"/>
          </w:tcPr>
          <w:p w14:paraId="5F69959A" w14:textId="77777777" w:rsidR="000B638A" w:rsidRDefault="008F23F5">
            <w:pPr>
              <w:jc w:val="center"/>
            </w:pPr>
            <w:r>
              <w:rPr>
                <w:b/>
                <w:color w:val="FFFFFF"/>
                <w:sz w:val="15"/>
              </w:rPr>
              <w:t>Extracted evidence</w:t>
            </w:r>
          </w:p>
        </w:tc>
        <w:tc>
          <w:tcPr>
            <w:tcW w:w="3213" w:type="dxa"/>
            <w:shd w:val="clear" w:color="auto" w:fill="2F66B3"/>
          </w:tcPr>
          <w:p w14:paraId="709D1FCA" w14:textId="77777777" w:rsidR="000B638A" w:rsidRDefault="008F23F5">
            <w:pPr>
              <w:jc w:val="center"/>
            </w:pPr>
            <w:r>
              <w:rPr>
                <w:b/>
                <w:color w:val="FFFFFF"/>
                <w:sz w:val="15"/>
              </w:rPr>
              <w:t>Design output</w:t>
            </w:r>
          </w:p>
        </w:tc>
      </w:tr>
      <w:tr w:rsidR="000B638A" w14:paraId="4135E50D" w14:textId="77777777">
        <w:trPr>
          <w:jc w:val="center"/>
        </w:trPr>
        <w:tc>
          <w:tcPr>
            <w:tcW w:w="3213" w:type="dxa"/>
            <w:vAlign w:val="center"/>
          </w:tcPr>
          <w:p w14:paraId="727672F1" w14:textId="77777777" w:rsidR="000B638A" w:rsidRDefault="008F23F5">
            <w:pPr>
              <w:spacing w:after="0"/>
            </w:pPr>
            <w:r>
              <w:rPr>
                <w:color w:val="111111"/>
                <w:sz w:val="15"/>
              </w:rPr>
              <w:t>Inputs</w:t>
            </w:r>
          </w:p>
        </w:tc>
        <w:tc>
          <w:tcPr>
            <w:tcW w:w="3213" w:type="dxa"/>
            <w:vAlign w:val="center"/>
          </w:tcPr>
          <w:p w14:paraId="45248B6D" w14:textId="77777777" w:rsidR="000B638A" w:rsidRDefault="008F23F5">
            <w:pPr>
              <w:spacing w:after="0"/>
            </w:pPr>
            <w:r>
              <w:rPr>
                <w:color w:val="111111"/>
                <w:sz w:val="15"/>
              </w:rPr>
              <w:t>Source, format, quality, context</w:t>
            </w:r>
          </w:p>
        </w:tc>
        <w:tc>
          <w:tcPr>
            <w:tcW w:w="3213" w:type="dxa"/>
            <w:vAlign w:val="center"/>
          </w:tcPr>
          <w:p w14:paraId="2605A273" w14:textId="77777777" w:rsidR="000B638A" w:rsidRDefault="008F23F5">
            <w:pPr>
              <w:spacing w:after="0"/>
            </w:pPr>
            <w:r>
              <w:rPr>
                <w:color w:val="111111"/>
                <w:sz w:val="15"/>
              </w:rPr>
              <w:t>Data specification</w:t>
            </w:r>
          </w:p>
        </w:tc>
      </w:tr>
      <w:tr w:rsidR="000B638A" w14:paraId="7CEEE1BC" w14:textId="77777777">
        <w:trPr>
          <w:jc w:val="center"/>
        </w:trPr>
        <w:tc>
          <w:tcPr>
            <w:tcW w:w="3213" w:type="dxa"/>
            <w:vAlign w:val="center"/>
          </w:tcPr>
          <w:p w14:paraId="4BA1044E" w14:textId="77777777" w:rsidR="000B638A" w:rsidRDefault="008F23F5">
            <w:pPr>
              <w:spacing w:after="0"/>
            </w:pPr>
            <w:r>
              <w:rPr>
                <w:color w:val="111111"/>
                <w:sz w:val="15"/>
              </w:rPr>
              <w:t>Architecture</w:t>
            </w:r>
          </w:p>
        </w:tc>
        <w:tc>
          <w:tcPr>
            <w:tcW w:w="3213" w:type="dxa"/>
            <w:vAlign w:val="center"/>
          </w:tcPr>
          <w:p w14:paraId="7B2F0357" w14:textId="77777777" w:rsidR="000B638A" w:rsidRDefault="008F23F5">
            <w:pPr>
              <w:spacing w:after="0"/>
            </w:pPr>
            <w:r>
              <w:rPr>
                <w:color w:val="111111"/>
                <w:sz w:val="15"/>
              </w:rPr>
              <w:t xml:space="preserve">Methods, </w:t>
            </w:r>
            <w:r>
              <w:rPr>
                <w:color w:val="111111"/>
                <w:sz w:val="15"/>
              </w:rPr>
              <w:t>interfaces, dependencies</w:t>
            </w:r>
          </w:p>
        </w:tc>
        <w:tc>
          <w:tcPr>
            <w:tcW w:w="3213" w:type="dxa"/>
            <w:vAlign w:val="center"/>
          </w:tcPr>
          <w:p w14:paraId="55A02D18" w14:textId="77777777" w:rsidR="000B638A" w:rsidRDefault="008F23F5">
            <w:pPr>
              <w:spacing w:after="0"/>
            </w:pPr>
            <w:r>
              <w:rPr>
                <w:color w:val="111111"/>
                <w:sz w:val="15"/>
              </w:rPr>
              <w:t>Component model</w:t>
            </w:r>
          </w:p>
        </w:tc>
      </w:tr>
      <w:tr w:rsidR="000B638A" w14:paraId="5B17C051" w14:textId="77777777">
        <w:trPr>
          <w:jc w:val="center"/>
        </w:trPr>
        <w:tc>
          <w:tcPr>
            <w:tcW w:w="3213" w:type="dxa"/>
            <w:vAlign w:val="center"/>
          </w:tcPr>
          <w:p w14:paraId="7356D856" w14:textId="77777777" w:rsidR="000B638A" w:rsidRDefault="008F23F5">
            <w:pPr>
              <w:spacing w:after="0"/>
            </w:pPr>
            <w:r>
              <w:rPr>
                <w:color w:val="111111"/>
                <w:sz w:val="15"/>
              </w:rPr>
              <w:t>Evaluation</w:t>
            </w:r>
          </w:p>
        </w:tc>
        <w:tc>
          <w:tcPr>
            <w:tcW w:w="3213" w:type="dxa"/>
            <w:vAlign w:val="center"/>
          </w:tcPr>
          <w:p w14:paraId="65B662EF" w14:textId="77777777" w:rsidR="000B638A" w:rsidRDefault="008F23F5">
            <w:pPr>
              <w:spacing w:after="0"/>
            </w:pPr>
            <w:r>
              <w:rPr>
                <w:color w:val="111111"/>
                <w:sz w:val="15"/>
              </w:rPr>
              <w:t>Metrics, datasets, comparison</w:t>
            </w:r>
          </w:p>
        </w:tc>
        <w:tc>
          <w:tcPr>
            <w:tcW w:w="3213" w:type="dxa"/>
            <w:vAlign w:val="center"/>
          </w:tcPr>
          <w:p w14:paraId="20FE693B" w14:textId="77777777" w:rsidR="000B638A" w:rsidRDefault="008F23F5">
            <w:pPr>
              <w:spacing w:after="0"/>
            </w:pPr>
            <w:r>
              <w:rPr>
                <w:color w:val="111111"/>
                <w:sz w:val="15"/>
              </w:rPr>
              <w:t>Validation protocol</w:t>
            </w:r>
          </w:p>
        </w:tc>
      </w:tr>
      <w:tr w:rsidR="000B638A" w14:paraId="7BA9E8CD" w14:textId="77777777">
        <w:trPr>
          <w:jc w:val="center"/>
        </w:trPr>
        <w:tc>
          <w:tcPr>
            <w:tcW w:w="3213" w:type="dxa"/>
            <w:vAlign w:val="center"/>
          </w:tcPr>
          <w:p w14:paraId="3939D2FF" w14:textId="77777777" w:rsidR="000B638A" w:rsidRDefault="008F23F5">
            <w:pPr>
              <w:spacing w:after="0"/>
            </w:pPr>
            <w:r>
              <w:rPr>
                <w:color w:val="111111"/>
                <w:sz w:val="15"/>
              </w:rPr>
              <w:t>Deployment</w:t>
            </w:r>
          </w:p>
        </w:tc>
        <w:tc>
          <w:tcPr>
            <w:tcW w:w="3213" w:type="dxa"/>
            <w:vAlign w:val="center"/>
          </w:tcPr>
          <w:p w14:paraId="7A6045DE" w14:textId="77777777" w:rsidR="000B638A" w:rsidRDefault="008F23F5">
            <w:pPr>
              <w:spacing w:after="0"/>
            </w:pPr>
            <w:r>
              <w:rPr>
                <w:color w:val="111111"/>
                <w:sz w:val="15"/>
              </w:rPr>
              <w:t>Risks, users, controls</w:t>
            </w:r>
          </w:p>
        </w:tc>
        <w:tc>
          <w:tcPr>
            <w:tcW w:w="3213" w:type="dxa"/>
            <w:vAlign w:val="center"/>
          </w:tcPr>
          <w:p w14:paraId="5A654F8E" w14:textId="77777777" w:rsidR="000B638A" w:rsidRDefault="008F23F5">
            <w:pPr>
              <w:spacing w:after="0"/>
            </w:pPr>
            <w:r>
              <w:rPr>
                <w:color w:val="111111"/>
                <w:sz w:val="15"/>
              </w:rPr>
              <w:t>Governance plan</w:t>
            </w:r>
          </w:p>
        </w:tc>
      </w:tr>
    </w:tbl>
    <w:p w14:paraId="40550818" w14:textId="77777777" w:rsidR="000B638A" w:rsidRDefault="008F23F5">
      <w:pPr>
        <w:spacing w:after="80"/>
        <w:jc w:val="both"/>
      </w:pPr>
      <w:r>
        <w:rPr>
          <w:color w:val="111111"/>
        </w:rPr>
        <w:t>Synthesis decisions were documented by linking each proposed component to the type of evidence that s</w:t>
      </w:r>
      <w:r>
        <w:rPr>
          <w:color w:val="111111"/>
        </w:rPr>
        <w:t xml:space="preserve">upports it. When sources disagreed, the framework adopted the more conservative interpretation and converted the disagreement into a validation requirement. This approach prevents selective citation of only favourable results and makes uncertainty visible </w:t>
      </w:r>
      <w:r>
        <w:rPr>
          <w:color w:val="111111"/>
        </w:rPr>
        <w:t>to later developers and reviewers. The resulting framework is therefore best understood as a reasoned technical specification that remains open to revision after empirical testing.</w:t>
      </w:r>
    </w:p>
    <w:p w14:paraId="192451DE" w14:textId="77777777" w:rsidR="000B638A" w:rsidRDefault="008F23F5">
      <w:pPr>
        <w:pStyle w:val="JASTEH1"/>
      </w:pPr>
      <w:r>
        <w:lastRenderedPageBreak/>
        <w:t>4. PROPOSED SYSTEM ARCHITECTURE</w:t>
      </w:r>
    </w:p>
    <w:p w14:paraId="216580A0" w14:textId="77777777" w:rsidR="000B638A" w:rsidRDefault="008F23F5">
      <w:pPr>
        <w:pStyle w:val="JASTEH2"/>
      </w:pPr>
      <w:r>
        <w:t>4.1 Input and Data Layer</w:t>
      </w:r>
    </w:p>
    <w:p w14:paraId="4E043ED5" w14:textId="77777777" w:rsidR="000B638A" w:rsidRDefault="008F23F5">
      <w:pPr>
        <w:spacing w:after="80"/>
        <w:jc w:val="both"/>
      </w:pPr>
      <w:r>
        <w:rPr>
          <w:color w:val="111111"/>
        </w:rPr>
        <w:t>System requirement</w:t>
      </w:r>
      <w:r>
        <w:rPr>
          <w:color w:val="111111"/>
        </w:rPr>
        <w:t>s begin with an operational definition of the target problem and a documented decision boundary. The data model should represent public posts, captions, hashtags, source metadata, timestamps, engagement signals, and verified contextual references. Required</w:t>
      </w:r>
      <w:r>
        <w:rPr>
          <w:color w:val="111111"/>
        </w:rPr>
        <w:t xml:space="preserve"> and optional fields must be distinguished, validation rules must be machine-readable, and every transformation should retain a link to its source. Records that fail minimum quality criteria should be quarantined rather than silently imputed into a decisio</w:t>
      </w:r>
      <w:r>
        <w:rPr>
          <w:color w:val="111111"/>
        </w:rPr>
        <w:t>n.</w:t>
      </w:r>
    </w:p>
    <w:p w14:paraId="13EB60E0" w14:textId="77777777" w:rsidR="000B638A" w:rsidRDefault="008F23F5">
      <w:pPr>
        <w:pStyle w:val="JASTEH2"/>
      </w:pPr>
      <w:r>
        <w:t>4.2 Processing and Analytical Layer</w:t>
      </w:r>
    </w:p>
    <w:p w14:paraId="47F02FA4" w14:textId="77777777" w:rsidR="000B638A" w:rsidRDefault="008F23F5">
      <w:pPr>
        <w:spacing w:after="80"/>
        <w:jc w:val="both"/>
      </w:pPr>
      <w:r>
        <w:rPr>
          <w:color w:val="111111"/>
        </w:rPr>
        <w:t>Processing should be organised as a sequence of observable services covering data governance, language normalization, domain-adapted representation built on transformer-based language models (Devlin et al., 2019), sen</w:t>
      </w:r>
      <w:r>
        <w:rPr>
          <w:color w:val="111111"/>
        </w:rPr>
        <w:t xml:space="preserve">timent and uncertainty estimation, misinformation-risk scoring informed by content, source, and propagation features (Shu et al., 2017; Castillo et al., 2011; Shu et al., 2019), explanation, and reviewer escalation. Each service should record its software </w:t>
      </w:r>
      <w:r>
        <w:rPr>
          <w:color w:val="111111"/>
        </w:rPr>
        <w:t>version, configuration, input checksum, output status, processing time, and warnings. Reproducibility depends on these records because the same nominal method may behave differently after library, device, model, or platform updates.</w:t>
      </w:r>
    </w:p>
    <w:p w14:paraId="64607E3E" w14:textId="77777777" w:rsidR="000B638A" w:rsidRDefault="008F23F5">
      <w:pPr>
        <w:pStyle w:val="JASTEH2"/>
      </w:pPr>
      <w:r>
        <w:t xml:space="preserve">4.3 Decision and </w:t>
      </w:r>
      <w:r>
        <w:t>Oversight Layer</w:t>
      </w:r>
    </w:p>
    <w:p w14:paraId="64D7FE4B" w14:textId="77777777" w:rsidR="000B638A" w:rsidRDefault="008F23F5">
      <w:pPr>
        <w:spacing w:after="80"/>
        <w:jc w:val="both"/>
      </w:pPr>
      <w:r>
        <w:rPr>
          <w:color w:val="111111"/>
        </w:rPr>
        <w:t>Decision logic should communicate both the recommended action and the strength of the supporting evidence. A calibrated score is preferable to an unexplained binary label when uncertainty is material, since modern classifiers are frequently</w:t>
      </w:r>
      <w:r>
        <w:rPr>
          <w:color w:val="111111"/>
        </w:rPr>
        <w:t xml:space="preserve"> overconfident relative to their true accuracy (Guo et al., 2017). Thresholds should be selected for the operational cost of false acceptance and false rejection, then reviewed with domain experts. Borderline cases should be escalated rather than forced in</w:t>
      </w:r>
      <w:r>
        <w:rPr>
          <w:color w:val="111111"/>
        </w:rPr>
        <w:t>to confident categories.</w:t>
      </w:r>
    </w:p>
    <w:p w14:paraId="4D43610E" w14:textId="77777777" w:rsidR="000B638A" w:rsidRDefault="008F23F5">
      <w:pPr>
        <w:pStyle w:val="JASTEH2"/>
      </w:pPr>
      <w:r>
        <w:t>4.4 Interface and Explanation Layer</w:t>
      </w:r>
    </w:p>
    <w:p w14:paraId="2CEF3FD0" w14:textId="77777777" w:rsidR="000B638A" w:rsidRDefault="008F23F5">
      <w:pPr>
        <w:spacing w:after="80"/>
        <w:jc w:val="both"/>
      </w:pPr>
      <w:r>
        <w:rPr>
          <w:color w:val="111111"/>
        </w:rPr>
        <w:t>The interface should expose the evidence needed for review without overwhelming the user. Layered explanations can present a concise status first, followed by source quality, component outputs, l</w:t>
      </w:r>
      <w:r>
        <w:rPr>
          <w:color w:val="111111"/>
        </w:rPr>
        <w:t xml:space="preserve">imitations, and the audit history, drawing on feature-attribution techniques such as SHAP or LIME to make individual predictions interpretable (Ribeiro et al., 2016; Lundberg &amp; Lee, 2017). Accessibility, language, reading level, and device constraints are </w:t>
      </w:r>
      <w:r>
        <w:rPr>
          <w:color w:val="111111"/>
        </w:rPr>
        <w:t>functional requirements, not decorative additions after the algorithm has been completed.</w:t>
      </w:r>
    </w:p>
    <w:p w14:paraId="716FCD5A" w14:textId="77777777" w:rsidR="000B638A" w:rsidRDefault="008F23F5">
      <w:pPr>
        <w:spacing w:before="100" w:after="60"/>
        <w:jc w:val="center"/>
      </w:pPr>
      <w:r>
        <w:rPr>
          <w:b/>
          <w:color w:val="111111"/>
          <w:sz w:val="18"/>
        </w:rPr>
        <w:t>Table 3. Core Architecture and Control Points</w:t>
      </w:r>
    </w:p>
    <w:tbl>
      <w:tblPr>
        <w:tblW w:w="0" w:type="auto"/>
        <w:jc w:val="center"/>
        <w:tblBorders>
          <w:top w:val="single" w:sz="4" w:space="0" w:color="AFC3E0"/>
          <w:left w:val="single" w:sz="4" w:space="0" w:color="AFC3E0"/>
          <w:bottom w:val="single" w:sz="4" w:space="0" w:color="AFC3E0"/>
          <w:right w:val="single" w:sz="4" w:space="0" w:color="AFC3E0"/>
          <w:insideH w:val="single" w:sz="4" w:space="0" w:color="AFC3E0"/>
          <w:insideV w:val="single" w:sz="4" w:space="0" w:color="AFC3E0"/>
        </w:tblBorders>
        <w:tblLayout w:type="fixed"/>
        <w:tblLook w:val="04A0" w:firstRow="1" w:lastRow="0" w:firstColumn="1" w:lastColumn="0" w:noHBand="0" w:noVBand="1"/>
      </w:tblPr>
      <w:tblGrid>
        <w:gridCol w:w="3213"/>
        <w:gridCol w:w="3213"/>
        <w:gridCol w:w="3213"/>
      </w:tblGrid>
      <w:tr w:rsidR="000B638A" w14:paraId="41093179" w14:textId="77777777">
        <w:trPr>
          <w:jc w:val="center"/>
        </w:trPr>
        <w:tc>
          <w:tcPr>
            <w:tcW w:w="3213" w:type="dxa"/>
            <w:shd w:val="clear" w:color="auto" w:fill="2F66B3"/>
          </w:tcPr>
          <w:p w14:paraId="6925D7C6" w14:textId="77777777" w:rsidR="000B638A" w:rsidRDefault="008F23F5">
            <w:pPr>
              <w:jc w:val="center"/>
            </w:pPr>
            <w:r>
              <w:rPr>
                <w:b/>
                <w:color w:val="FFFFFF"/>
                <w:sz w:val="15"/>
              </w:rPr>
              <w:t>Layer</w:t>
            </w:r>
          </w:p>
        </w:tc>
        <w:tc>
          <w:tcPr>
            <w:tcW w:w="3213" w:type="dxa"/>
            <w:shd w:val="clear" w:color="auto" w:fill="2F66B3"/>
          </w:tcPr>
          <w:p w14:paraId="6BD3BE4A" w14:textId="77777777" w:rsidR="000B638A" w:rsidRDefault="008F23F5">
            <w:pPr>
              <w:jc w:val="center"/>
            </w:pPr>
            <w:r>
              <w:rPr>
                <w:b/>
                <w:color w:val="FFFFFF"/>
                <w:sz w:val="15"/>
              </w:rPr>
              <w:t>Principal function</w:t>
            </w:r>
          </w:p>
        </w:tc>
        <w:tc>
          <w:tcPr>
            <w:tcW w:w="3213" w:type="dxa"/>
            <w:shd w:val="clear" w:color="auto" w:fill="2F66B3"/>
          </w:tcPr>
          <w:p w14:paraId="35380449" w14:textId="77777777" w:rsidR="000B638A" w:rsidRDefault="008F23F5">
            <w:pPr>
              <w:jc w:val="center"/>
            </w:pPr>
            <w:r>
              <w:rPr>
                <w:b/>
                <w:color w:val="FFFFFF"/>
                <w:sz w:val="15"/>
              </w:rPr>
              <w:t>Control point</w:t>
            </w:r>
          </w:p>
        </w:tc>
      </w:tr>
      <w:tr w:rsidR="000B638A" w14:paraId="16668858" w14:textId="77777777">
        <w:trPr>
          <w:jc w:val="center"/>
        </w:trPr>
        <w:tc>
          <w:tcPr>
            <w:tcW w:w="3213" w:type="dxa"/>
            <w:vAlign w:val="center"/>
          </w:tcPr>
          <w:p w14:paraId="18BBB757" w14:textId="77777777" w:rsidR="000B638A" w:rsidRDefault="008F23F5">
            <w:pPr>
              <w:spacing w:after="0"/>
            </w:pPr>
            <w:r>
              <w:rPr>
                <w:color w:val="111111"/>
                <w:sz w:val="15"/>
              </w:rPr>
              <w:t>Input</w:t>
            </w:r>
          </w:p>
        </w:tc>
        <w:tc>
          <w:tcPr>
            <w:tcW w:w="3213" w:type="dxa"/>
            <w:vAlign w:val="center"/>
          </w:tcPr>
          <w:p w14:paraId="747549E9" w14:textId="77777777" w:rsidR="000B638A" w:rsidRDefault="008F23F5">
            <w:pPr>
              <w:spacing w:after="0"/>
            </w:pPr>
            <w:r>
              <w:rPr>
                <w:color w:val="111111"/>
                <w:sz w:val="15"/>
              </w:rPr>
              <w:t>Acquire and validate source evidence</w:t>
            </w:r>
          </w:p>
        </w:tc>
        <w:tc>
          <w:tcPr>
            <w:tcW w:w="3213" w:type="dxa"/>
            <w:vAlign w:val="center"/>
          </w:tcPr>
          <w:p w14:paraId="52A17085" w14:textId="77777777" w:rsidR="000B638A" w:rsidRDefault="008F23F5">
            <w:pPr>
              <w:spacing w:after="0"/>
            </w:pPr>
            <w:r>
              <w:rPr>
                <w:color w:val="111111"/>
                <w:sz w:val="15"/>
              </w:rPr>
              <w:t>Provenance, consent, completeness</w:t>
            </w:r>
          </w:p>
        </w:tc>
      </w:tr>
      <w:tr w:rsidR="000B638A" w14:paraId="150D16EE" w14:textId="77777777">
        <w:trPr>
          <w:jc w:val="center"/>
        </w:trPr>
        <w:tc>
          <w:tcPr>
            <w:tcW w:w="3213" w:type="dxa"/>
            <w:vAlign w:val="center"/>
          </w:tcPr>
          <w:p w14:paraId="76894C44" w14:textId="77777777" w:rsidR="000B638A" w:rsidRDefault="008F23F5">
            <w:pPr>
              <w:spacing w:after="0"/>
            </w:pPr>
            <w:r>
              <w:rPr>
                <w:color w:val="111111"/>
                <w:sz w:val="15"/>
              </w:rPr>
              <w:t>Processing</w:t>
            </w:r>
          </w:p>
        </w:tc>
        <w:tc>
          <w:tcPr>
            <w:tcW w:w="3213" w:type="dxa"/>
            <w:vAlign w:val="center"/>
          </w:tcPr>
          <w:p w14:paraId="0C3FC4AB" w14:textId="77777777" w:rsidR="000B638A" w:rsidRDefault="008F23F5">
            <w:pPr>
              <w:spacing w:after="0"/>
            </w:pPr>
            <w:r>
              <w:rPr>
                <w:color w:val="111111"/>
                <w:sz w:val="15"/>
              </w:rPr>
              <w:t>Transform and analyse evidence</w:t>
            </w:r>
          </w:p>
        </w:tc>
        <w:tc>
          <w:tcPr>
            <w:tcW w:w="3213" w:type="dxa"/>
            <w:vAlign w:val="center"/>
          </w:tcPr>
          <w:p w14:paraId="05688042" w14:textId="77777777" w:rsidR="000B638A" w:rsidRDefault="008F23F5">
            <w:pPr>
              <w:spacing w:after="0"/>
            </w:pPr>
            <w:r>
              <w:rPr>
                <w:color w:val="111111"/>
                <w:sz w:val="15"/>
              </w:rPr>
              <w:t>Version, configuration, warnings</w:t>
            </w:r>
          </w:p>
        </w:tc>
      </w:tr>
      <w:tr w:rsidR="000B638A" w14:paraId="6E8E3CD1" w14:textId="77777777">
        <w:trPr>
          <w:jc w:val="center"/>
        </w:trPr>
        <w:tc>
          <w:tcPr>
            <w:tcW w:w="3213" w:type="dxa"/>
            <w:vAlign w:val="center"/>
          </w:tcPr>
          <w:p w14:paraId="32356FB8" w14:textId="77777777" w:rsidR="000B638A" w:rsidRDefault="008F23F5">
            <w:pPr>
              <w:spacing w:after="0"/>
            </w:pPr>
            <w:r>
              <w:rPr>
                <w:color w:val="111111"/>
                <w:sz w:val="15"/>
              </w:rPr>
              <w:t>Decision</w:t>
            </w:r>
          </w:p>
        </w:tc>
        <w:tc>
          <w:tcPr>
            <w:tcW w:w="3213" w:type="dxa"/>
            <w:vAlign w:val="center"/>
          </w:tcPr>
          <w:p w14:paraId="470BB5B8" w14:textId="77777777" w:rsidR="000B638A" w:rsidRDefault="008F23F5">
            <w:pPr>
              <w:spacing w:after="0"/>
            </w:pPr>
            <w:r>
              <w:rPr>
                <w:color w:val="111111"/>
                <w:sz w:val="15"/>
              </w:rPr>
              <w:t>Combine evidence and uncertainty</w:t>
            </w:r>
          </w:p>
        </w:tc>
        <w:tc>
          <w:tcPr>
            <w:tcW w:w="3213" w:type="dxa"/>
            <w:vAlign w:val="center"/>
          </w:tcPr>
          <w:p w14:paraId="27471F73" w14:textId="77777777" w:rsidR="000B638A" w:rsidRDefault="008F23F5">
            <w:pPr>
              <w:spacing w:after="0"/>
            </w:pPr>
            <w:r>
              <w:rPr>
                <w:color w:val="111111"/>
                <w:sz w:val="15"/>
              </w:rPr>
              <w:t>Calibration and escalation</w:t>
            </w:r>
          </w:p>
        </w:tc>
      </w:tr>
      <w:tr w:rsidR="000B638A" w14:paraId="2E2085AF" w14:textId="77777777">
        <w:trPr>
          <w:jc w:val="center"/>
        </w:trPr>
        <w:tc>
          <w:tcPr>
            <w:tcW w:w="3213" w:type="dxa"/>
            <w:vAlign w:val="center"/>
          </w:tcPr>
          <w:p w14:paraId="61C0070C" w14:textId="77777777" w:rsidR="000B638A" w:rsidRDefault="008F23F5">
            <w:pPr>
              <w:spacing w:after="0"/>
            </w:pPr>
            <w:r>
              <w:rPr>
                <w:color w:val="111111"/>
                <w:sz w:val="15"/>
              </w:rPr>
              <w:t>Interface</w:t>
            </w:r>
          </w:p>
        </w:tc>
        <w:tc>
          <w:tcPr>
            <w:tcW w:w="3213" w:type="dxa"/>
            <w:vAlign w:val="center"/>
          </w:tcPr>
          <w:p w14:paraId="1EDB5192" w14:textId="77777777" w:rsidR="000B638A" w:rsidRDefault="008F23F5">
            <w:pPr>
              <w:spacing w:after="0"/>
            </w:pPr>
            <w:r>
              <w:rPr>
                <w:color w:val="111111"/>
                <w:sz w:val="15"/>
              </w:rPr>
              <w:t>Communicate action and limitations</w:t>
            </w:r>
          </w:p>
        </w:tc>
        <w:tc>
          <w:tcPr>
            <w:tcW w:w="3213" w:type="dxa"/>
            <w:vAlign w:val="center"/>
          </w:tcPr>
          <w:p w14:paraId="5ED50B54" w14:textId="77777777" w:rsidR="000B638A" w:rsidRDefault="008F23F5">
            <w:pPr>
              <w:spacing w:after="0"/>
            </w:pPr>
            <w:r>
              <w:rPr>
                <w:color w:val="111111"/>
                <w:sz w:val="15"/>
              </w:rPr>
              <w:t>Accessibility and audit history</w:t>
            </w:r>
          </w:p>
        </w:tc>
      </w:tr>
    </w:tbl>
    <w:p w14:paraId="30B56131" w14:textId="77777777" w:rsidR="000B638A" w:rsidRDefault="008F23F5">
      <w:pPr>
        <w:spacing w:after="80"/>
        <w:jc w:val="both"/>
      </w:pPr>
      <w:r>
        <w:rPr>
          <w:color w:val="111111"/>
        </w:rPr>
        <w:t>Interfaces between layers should</w:t>
      </w:r>
      <w:r>
        <w:rPr>
          <w:color w:val="111111"/>
        </w:rPr>
        <w:t xml:space="preserve"> use documented schemas and error states. A downstream component must be able to distinguish a valid low value from a missing, rejected, or technically failed input. Time synchronisation, unit definitions, identifier handling, and version compatibility req</w:t>
      </w:r>
      <w:r>
        <w:rPr>
          <w:color w:val="111111"/>
        </w:rPr>
        <w:t>uire explicit tests. These controls appear mundane compared with analytical algorithms, but many operational failures arise from mismatched assumptions at component boundaries rather than from the core method itself.</w:t>
      </w:r>
    </w:p>
    <w:p w14:paraId="395E6DBE" w14:textId="77777777" w:rsidR="000B638A" w:rsidRDefault="008F23F5">
      <w:pPr>
        <w:pStyle w:val="JASTEH1"/>
      </w:pPr>
      <w:r>
        <w:t>5. VALIDATION AND PERFORMANCE EVALUATIO</w:t>
      </w:r>
      <w:r>
        <w:t>N</w:t>
      </w:r>
    </w:p>
    <w:p w14:paraId="76A4DCCD" w14:textId="77777777" w:rsidR="000B638A" w:rsidRDefault="008F23F5">
      <w:pPr>
        <w:spacing w:after="80"/>
        <w:jc w:val="both"/>
      </w:pPr>
      <w:r>
        <w:rPr>
          <w:color w:val="111111"/>
        </w:rPr>
        <w:t>Evaluation must measure more than headline accuracy. The minimum set includes precision, recall, F1-score, area under the precision–recall curve, calibration error, subgroup robustness, reviewer agreement, and review workload. Precision–recall curves are</w:t>
      </w:r>
      <w:r>
        <w:rPr>
          <w:color w:val="111111"/>
        </w:rPr>
        <w:t xml:space="preserve"> particularly informative for the class-imbalanced conditions typical of misinformation screening, where genuinely misleading posts are a minority of all posts (Saito &amp; Rehmsmeier, 2015). Metrics should be reported with denominators, confidence intervals w</w:t>
      </w:r>
      <w:r>
        <w:rPr>
          <w:color w:val="111111"/>
        </w:rPr>
        <w:t>here appropriate, threshold settings, and subgroup results. A system that performs well on an average score may still be unsafe if errors concentrate in a device type, language group, environmental condition, or high-risk use case.</w:t>
      </w:r>
    </w:p>
    <w:p w14:paraId="2DB788F4" w14:textId="77777777" w:rsidR="000B638A" w:rsidRDefault="008F23F5">
      <w:pPr>
        <w:spacing w:after="80"/>
        <w:jc w:val="both"/>
      </w:pPr>
      <w:r>
        <w:rPr>
          <w:color w:val="111111"/>
        </w:rPr>
        <w:t>Development, tuning, and</w:t>
      </w:r>
      <w:r>
        <w:rPr>
          <w:color w:val="111111"/>
        </w:rPr>
        <w:t xml:space="preserve"> final evaluation data must be separated at the level where leakage can occur. Near duplicates, repeated users, related devices, or temporally adjacent records can inflate performance if they appear on both sides of a split. A credible protocol documents e</w:t>
      </w:r>
      <w:r>
        <w:rPr>
          <w:color w:val="111111"/>
        </w:rPr>
        <w:t>xclusions, deduplication, missingness, class distribution, and the rationale for every sampling decision.</w:t>
      </w:r>
    </w:p>
    <w:p w14:paraId="750DC271" w14:textId="77777777" w:rsidR="000B638A" w:rsidRDefault="008F23F5">
      <w:pPr>
        <w:spacing w:after="80"/>
        <w:jc w:val="both"/>
      </w:pPr>
      <w:r>
        <w:rPr>
          <w:color w:val="111111"/>
        </w:rPr>
        <w:t xml:space="preserve">Robustness testing should vary conditions expected after deployment rather than reproducing only a clean laboratory setting. Stress tests may </w:t>
      </w:r>
      <w:r>
        <w:rPr>
          <w:color w:val="111111"/>
        </w:rPr>
        <w:t xml:space="preserve">include reduced quality, missing fields, changed interfaces, novel attack patterns, network interruption, low-end devices, and ambiguous cases. Results should identify failure modes and recovery behaviour, including whether the system abstains safely when </w:t>
      </w:r>
      <w:r>
        <w:rPr>
          <w:color w:val="111111"/>
        </w:rPr>
        <w:t>evidence is insufficient.</w:t>
      </w:r>
    </w:p>
    <w:p w14:paraId="2BE96608" w14:textId="77777777" w:rsidR="000B638A" w:rsidRDefault="008F23F5">
      <w:pPr>
        <w:spacing w:after="80"/>
        <w:jc w:val="both"/>
      </w:pPr>
      <w:r>
        <w:rPr>
          <w:color w:val="111111"/>
        </w:rPr>
        <w:lastRenderedPageBreak/>
        <w:t>Human factors require their own validation. Reviewers should complete representative tasks while researchers measure completion, interpretation errors, confidence, workload, and disagreement. Qualitative debriefing can reveal misl</w:t>
      </w:r>
      <w:r>
        <w:rPr>
          <w:color w:val="111111"/>
        </w:rPr>
        <w:t>eading explanations and workflow friction that quantitative system metrics do not capture. Human oversight is effective only when reviewers have enough time, competence, and authority to challenge the output.</w:t>
      </w:r>
    </w:p>
    <w:p w14:paraId="33FC19D9" w14:textId="77777777" w:rsidR="000B638A" w:rsidRDefault="008F23F5">
      <w:pPr>
        <w:spacing w:before="100" w:after="60"/>
        <w:jc w:val="center"/>
      </w:pPr>
      <w:r>
        <w:rPr>
          <w:b/>
          <w:color w:val="111111"/>
          <w:sz w:val="18"/>
        </w:rPr>
        <w:t>Table 4. Minimum Validation Matrix</w:t>
      </w:r>
    </w:p>
    <w:tbl>
      <w:tblPr>
        <w:tblW w:w="0" w:type="auto"/>
        <w:jc w:val="center"/>
        <w:tblBorders>
          <w:top w:val="single" w:sz="4" w:space="0" w:color="AFC3E0"/>
          <w:left w:val="single" w:sz="4" w:space="0" w:color="AFC3E0"/>
          <w:bottom w:val="single" w:sz="4" w:space="0" w:color="AFC3E0"/>
          <w:right w:val="single" w:sz="4" w:space="0" w:color="AFC3E0"/>
          <w:insideH w:val="single" w:sz="4" w:space="0" w:color="AFC3E0"/>
          <w:insideV w:val="single" w:sz="4" w:space="0" w:color="AFC3E0"/>
        </w:tblBorders>
        <w:tblLayout w:type="fixed"/>
        <w:tblLook w:val="04A0" w:firstRow="1" w:lastRow="0" w:firstColumn="1" w:lastColumn="0" w:noHBand="0" w:noVBand="1"/>
      </w:tblPr>
      <w:tblGrid>
        <w:gridCol w:w="3213"/>
        <w:gridCol w:w="3213"/>
        <w:gridCol w:w="3213"/>
      </w:tblGrid>
      <w:tr w:rsidR="000B638A" w14:paraId="4FBEE534" w14:textId="77777777">
        <w:trPr>
          <w:jc w:val="center"/>
        </w:trPr>
        <w:tc>
          <w:tcPr>
            <w:tcW w:w="3213" w:type="dxa"/>
            <w:shd w:val="clear" w:color="auto" w:fill="2F66B3"/>
          </w:tcPr>
          <w:p w14:paraId="6978649C" w14:textId="77777777" w:rsidR="000B638A" w:rsidRDefault="008F23F5">
            <w:pPr>
              <w:jc w:val="center"/>
            </w:pPr>
            <w:r>
              <w:rPr>
                <w:b/>
                <w:color w:val="FFFFFF"/>
                <w:sz w:val="15"/>
              </w:rPr>
              <w:t>Evaluation domain</w:t>
            </w:r>
          </w:p>
        </w:tc>
        <w:tc>
          <w:tcPr>
            <w:tcW w:w="3213" w:type="dxa"/>
            <w:shd w:val="clear" w:color="auto" w:fill="2F66B3"/>
          </w:tcPr>
          <w:p w14:paraId="4AB89926" w14:textId="77777777" w:rsidR="000B638A" w:rsidRDefault="008F23F5">
            <w:pPr>
              <w:jc w:val="center"/>
            </w:pPr>
            <w:r>
              <w:rPr>
                <w:b/>
                <w:color w:val="FFFFFF"/>
                <w:sz w:val="15"/>
              </w:rPr>
              <w:t>Example measure</w:t>
            </w:r>
          </w:p>
        </w:tc>
        <w:tc>
          <w:tcPr>
            <w:tcW w:w="3213" w:type="dxa"/>
            <w:shd w:val="clear" w:color="auto" w:fill="2F66B3"/>
          </w:tcPr>
          <w:p w14:paraId="26D836E6" w14:textId="77777777" w:rsidR="000B638A" w:rsidRDefault="008F23F5">
            <w:pPr>
              <w:jc w:val="center"/>
            </w:pPr>
            <w:r>
              <w:rPr>
                <w:b/>
                <w:color w:val="FFFFFF"/>
                <w:sz w:val="15"/>
              </w:rPr>
              <w:t>Decision use</w:t>
            </w:r>
          </w:p>
        </w:tc>
      </w:tr>
      <w:tr w:rsidR="000B638A" w14:paraId="1F34F8F9" w14:textId="77777777">
        <w:trPr>
          <w:jc w:val="center"/>
        </w:trPr>
        <w:tc>
          <w:tcPr>
            <w:tcW w:w="3213" w:type="dxa"/>
            <w:vAlign w:val="center"/>
          </w:tcPr>
          <w:p w14:paraId="696BD8F3" w14:textId="77777777" w:rsidR="000B638A" w:rsidRDefault="008F23F5">
            <w:pPr>
              <w:spacing w:after="0"/>
            </w:pPr>
            <w:r>
              <w:rPr>
                <w:color w:val="111111"/>
                <w:sz w:val="15"/>
              </w:rPr>
              <w:t>Technical validity</w:t>
            </w:r>
          </w:p>
        </w:tc>
        <w:tc>
          <w:tcPr>
            <w:tcW w:w="3213" w:type="dxa"/>
            <w:vAlign w:val="center"/>
          </w:tcPr>
          <w:p w14:paraId="696ED30B" w14:textId="77777777" w:rsidR="000B638A" w:rsidRDefault="008F23F5">
            <w:pPr>
              <w:spacing w:after="0"/>
            </w:pPr>
            <w:r>
              <w:rPr>
                <w:color w:val="111111"/>
                <w:sz w:val="15"/>
              </w:rPr>
              <w:t>precision, recall, F1-score, area under the precision–recall curve, calibration error, subgroup robustness, reviewer agreement</w:t>
            </w:r>
          </w:p>
        </w:tc>
        <w:tc>
          <w:tcPr>
            <w:tcW w:w="3213" w:type="dxa"/>
            <w:vAlign w:val="center"/>
          </w:tcPr>
          <w:p w14:paraId="5BA334FF" w14:textId="77777777" w:rsidR="000B638A" w:rsidRDefault="008F23F5">
            <w:pPr>
              <w:spacing w:after="0"/>
            </w:pPr>
            <w:r>
              <w:rPr>
                <w:color w:val="111111"/>
                <w:sz w:val="15"/>
              </w:rPr>
              <w:t>Compare configurations</w:t>
            </w:r>
          </w:p>
        </w:tc>
      </w:tr>
      <w:tr w:rsidR="000B638A" w14:paraId="32DF7671" w14:textId="77777777">
        <w:trPr>
          <w:jc w:val="center"/>
        </w:trPr>
        <w:tc>
          <w:tcPr>
            <w:tcW w:w="3213" w:type="dxa"/>
            <w:vAlign w:val="center"/>
          </w:tcPr>
          <w:p w14:paraId="4E40363B" w14:textId="77777777" w:rsidR="000B638A" w:rsidRDefault="008F23F5">
            <w:pPr>
              <w:spacing w:after="0"/>
            </w:pPr>
            <w:r>
              <w:rPr>
                <w:color w:val="111111"/>
                <w:sz w:val="15"/>
              </w:rPr>
              <w:t>Robustness</w:t>
            </w:r>
          </w:p>
        </w:tc>
        <w:tc>
          <w:tcPr>
            <w:tcW w:w="3213" w:type="dxa"/>
            <w:vAlign w:val="center"/>
          </w:tcPr>
          <w:p w14:paraId="106D641B" w14:textId="77777777" w:rsidR="000B638A" w:rsidRDefault="008F23F5">
            <w:pPr>
              <w:spacing w:after="0"/>
            </w:pPr>
            <w:r>
              <w:rPr>
                <w:color w:val="111111"/>
                <w:sz w:val="15"/>
              </w:rPr>
              <w:t xml:space="preserve">Performance under </w:t>
            </w:r>
            <w:r>
              <w:rPr>
                <w:color w:val="111111"/>
                <w:sz w:val="15"/>
              </w:rPr>
              <w:t>degraded or novel conditions</w:t>
            </w:r>
          </w:p>
        </w:tc>
        <w:tc>
          <w:tcPr>
            <w:tcW w:w="3213" w:type="dxa"/>
            <w:vAlign w:val="center"/>
          </w:tcPr>
          <w:p w14:paraId="4FA61E26" w14:textId="77777777" w:rsidR="000B638A" w:rsidRDefault="008F23F5">
            <w:pPr>
              <w:spacing w:after="0"/>
            </w:pPr>
            <w:r>
              <w:rPr>
                <w:color w:val="111111"/>
                <w:sz w:val="15"/>
              </w:rPr>
              <w:t>Define safe operating boundary</w:t>
            </w:r>
          </w:p>
        </w:tc>
      </w:tr>
      <w:tr w:rsidR="000B638A" w14:paraId="36CF5105" w14:textId="77777777">
        <w:trPr>
          <w:jc w:val="center"/>
        </w:trPr>
        <w:tc>
          <w:tcPr>
            <w:tcW w:w="3213" w:type="dxa"/>
            <w:vAlign w:val="center"/>
          </w:tcPr>
          <w:p w14:paraId="41CF9056" w14:textId="77777777" w:rsidR="000B638A" w:rsidRDefault="008F23F5">
            <w:pPr>
              <w:spacing w:after="0"/>
            </w:pPr>
            <w:r>
              <w:rPr>
                <w:color w:val="111111"/>
                <w:sz w:val="15"/>
              </w:rPr>
              <w:t>Human factors</w:t>
            </w:r>
          </w:p>
        </w:tc>
        <w:tc>
          <w:tcPr>
            <w:tcW w:w="3213" w:type="dxa"/>
            <w:vAlign w:val="center"/>
          </w:tcPr>
          <w:p w14:paraId="52E1116D" w14:textId="77777777" w:rsidR="000B638A" w:rsidRDefault="008F23F5">
            <w:pPr>
              <w:spacing w:after="0"/>
            </w:pPr>
            <w:r>
              <w:rPr>
                <w:color w:val="111111"/>
                <w:sz w:val="15"/>
              </w:rPr>
              <w:t>Task success, interpretation error, workload</w:t>
            </w:r>
          </w:p>
        </w:tc>
        <w:tc>
          <w:tcPr>
            <w:tcW w:w="3213" w:type="dxa"/>
            <w:vAlign w:val="center"/>
          </w:tcPr>
          <w:p w14:paraId="1F6668CD" w14:textId="77777777" w:rsidR="000B638A" w:rsidRDefault="008F23F5">
            <w:pPr>
              <w:spacing w:after="0"/>
            </w:pPr>
            <w:r>
              <w:rPr>
                <w:color w:val="111111"/>
                <w:sz w:val="15"/>
              </w:rPr>
              <w:t>Improve interface and training</w:t>
            </w:r>
          </w:p>
        </w:tc>
      </w:tr>
      <w:tr w:rsidR="000B638A" w14:paraId="090AE842" w14:textId="77777777">
        <w:trPr>
          <w:jc w:val="center"/>
        </w:trPr>
        <w:tc>
          <w:tcPr>
            <w:tcW w:w="3213" w:type="dxa"/>
            <w:vAlign w:val="center"/>
          </w:tcPr>
          <w:p w14:paraId="4A6410C5" w14:textId="77777777" w:rsidR="000B638A" w:rsidRDefault="008F23F5">
            <w:pPr>
              <w:spacing w:after="0"/>
            </w:pPr>
            <w:r>
              <w:rPr>
                <w:color w:val="111111"/>
                <w:sz w:val="15"/>
              </w:rPr>
              <w:t>Operations</w:t>
            </w:r>
          </w:p>
        </w:tc>
        <w:tc>
          <w:tcPr>
            <w:tcW w:w="3213" w:type="dxa"/>
            <w:vAlign w:val="center"/>
          </w:tcPr>
          <w:p w14:paraId="7BE43B3E" w14:textId="77777777" w:rsidR="000B638A" w:rsidRDefault="008F23F5">
            <w:pPr>
              <w:spacing w:after="0"/>
            </w:pPr>
            <w:r>
              <w:rPr>
                <w:color w:val="111111"/>
                <w:sz w:val="15"/>
              </w:rPr>
              <w:t>Latency, availability, incidents, overrides</w:t>
            </w:r>
          </w:p>
        </w:tc>
        <w:tc>
          <w:tcPr>
            <w:tcW w:w="3213" w:type="dxa"/>
            <w:vAlign w:val="center"/>
          </w:tcPr>
          <w:p w14:paraId="7DC1A604" w14:textId="77777777" w:rsidR="000B638A" w:rsidRDefault="008F23F5">
            <w:pPr>
              <w:spacing w:after="0"/>
            </w:pPr>
            <w:r>
              <w:rPr>
                <w:color w:val="111111"/>
                <w:sz w:val="15"/>
              </w:rPr>
              <w:t>Monitor deployment health</w:t>
            </w:r>
          </w:p>
        </w:tc>
      </w:tr>
    </w:tbl>
    <w:p w14:paraId="027CE8BF" w14:textId="77777777" w:rsidR="000B638A" w:rsidRDefault="008F23F5">
      <w:pPr>
        <w:spacing w:after="80"/>
        <w:jc w:val="both"/>
      </w:pPr>
      <w:r>
        <w:rPr>
          <w:color w:val="111111"/>
        </w:rPr>
        <w:t>A validation report sh</w:t>
      </w:r>
      <w:r>
        <w:rPr>
          <w:color w:val="111111"/>
        </w:rPr>
        <w:t>ould publish the complete test configuration, including hardware, software, model or rule versions, threshold values, sample exclusions, and unsuccessful trials. Aggregate metrics should be accompanied by confusion patterns or error categories that show wh</w:t>
      </w:r>
      <w:r>
        <w:rPr>
          <w:color w:val="111111"/>
        </w:rPr>
        <w:t>at the system gets wrong. Acceptance criteria must be set before examining final test results wherever feasible, thereby reducing the temptation to redefine success around the observed output.</w:t>
      </w:r>
    </w:p>
    <w:p w14:paraId="0CF9A6C8" w14:textId="77777777" w:rsidR="000B638A" w:rsidRDefault="008F23F5">
      <w:pPr>
        <w:pStyle w:val="JASTEH1"/>
      </w:pPr>
      <w:r>
        <w:t>6. RISK, ETHICS, PRIVACY, AND GOVERNANCE</w:t>
      </w:r>
    </w:p>
    <w:p w14:paraId="607FED65" w14:textId="77777777" w:rsidR="000B638A" w:rsidRDefault="008F23F5">
      <w:pPr>
        <w:spacing w:after="80"/>
        <w:jc w:val="both"/>
      </w:pPr>
      <w:r>
        <w:rPr>
          <w:color w:val="111111"/>
        </w:rPr>
        <w:t>The principal risks in</w:t>
      </w:r>
      <w:r>
        <w:rPr>
          <w:color w:val="111111"/>
        </w:rPr>
        <w:t>clude class imbalance, label ambiguity, concept drift, coordinated campaigns, sarcasm, code-switching, and overreliance on sentiment, given that linguistic markers of deception are context-sensitive and do not transfer uniformly across communication settin</w:t>
      </w:r>
      <w:r>
        <w:rPr>
          <w:color w:val="111111"/>
        </w:rPr>
        <w:t>gs (Zhou et al., 2004). These risks should be entered in a living register with a cause, affected component, likely consequence, existing control, residual severity, monitoring signal, and accountable owner. Risk review should occur before each major relea</w:t>
      </w:r>
      <w:r>
        <w:rPr>
          <w:color w:val="111111"/>
        </w:rPr>
        <w:t>se and whenever evidence shows a new failure pattern.</w:t>
      </w:r>
    </w:p>
    <w:p w14:paraId="26C32901" w14:textId="77777777" w:rsidR="000B638A" w:rsidRDefault="008F23F5">
      <w:pPr>
        <w:spacing w:after="80"/>
        <w:jc w:val="both"/>
      </w:pPr>
      <w:r>
        <w:rPr>
          <w:color w:val="111111"/>
        </w:rPr>
        <w:t>Privacy protection starts with data minimisation and purpose limitation. Collection should be restricted to information required for the declared function, retention periods should be explicit, and acce</w:t>
      </w:r>
      <w:r>
        <w:rPr>
          <w:color w:val="111111"/>
        </w:rPr>
        <w:t>ss should follow least-privilege principles. Identifiers should be separated from analytical data where feasible, transfers should be encrypted, and deletion or withdrawal procedures should be testable rather than merely described in policy text.</w:t>
      </w:r>
    </w:p>
    <w:p w14:paraId="2808D671" w14:textId="77777777" w:rsidR="000B638A" w:rsidRDefault="008F23F5">
      <w:pPr>
        <w:spacing w:after="80"/>
        <w:jc w:val="both"/>
      </w:pPr>
      <w:r>
        <w:rPr>
          <w:color w:val="111111"/>
        </w:rPr>
        <w:t>Governanc</w:t>
      </w:r>
      <w:r>
        <w:rPr>
          <w:color w:val="111111"/>
        </w:rPr>
        <w:t>e must define who can change thresholds, models, feature sets, interface wording, and escalation rules. Material changes require documented testing and approval. Audit logs should be protected from routine editing and should support reconstruction of the e</w:t>
      </w:r>
      <w:r>
        <w:rPr>
          <w:color w:val="111111"/>
        </w:rPr>
        <w:t>vidence available at the time of a decision. Incidents need an investigation route, user notification criteria, and corrective-action tracking.</w:t>
      </w:r>
    </w:p>
    <w:p w14:paraId="76178709" w14:textId="77777777" w:rsidR="000B638A" w:rsidRDefault="008F23F5">
      <w:pPr>
        <w:spacing w:after="80"/>
        <w:jc w:val="both"/>
      </w:pPr>
      <w:r>
        <w:rPr>
          <w:color w:val="111111"/>
        </w:rPr>
        <w:t>Ethical review should focus on foreseeable effects rather than only on formal consent. Exclusion, stigma, survei</w:t>
      </w:r>
      <w:r>
        <w:rPr>
          <w:color w:val="111111"/>
        </w:rPr>
        <w:t>llance, automation bias, and unequal error rates may arise even when data collection is technically lawful. Stakeholder participation and accessible complaint mechanisms help identify harms that are not visible in benchmark results.</w:t>
      </w:r>
    </w:p>
    <w:p w14:paraId="7FA46A3D" w14:textId="77777777" w:rsidR="000B638A" w:rsidRDefault="008F23F5">
      <w:pPr>
        <w:spacing w:before="100" w:after="60"/>
        <w:jc w:val="center"/>
      </w:pPr>
      <w:r>
        <w:rPr>
          <w:b/>
          <w:color w:val="111111"/>
          <w:sz w:val="18"/>
        </w:rPr>
        <w:t>Table 5. Risk-Control R</w:t>
      </w:r>
      <w:r>
        <w:rPr>
          <w:b/>
          <w:color w:val="111111"/>
          <w:sz w:val="18"/>
        </w:rPr>
        <w:t>egister</w:t>
      </w:r>
    </w:p>
    <w:tbl>
      <w:tblPr>
        <w:tblW w:w="0" w:type="auto"/>
        <w:jc w:val="center"/>
        <w:tblBorders>
          <w:top w:val="single" w:sz="4" w:space="0" w:color="AFC3E0"/>
          <w:left w:val="single" w:sz="4" w:space="0" w:color="AFC3E0"/>
          <w:bottom w:val="single" w:sz="4" w:space="0" w:color="AFC3E0"/>
          <w:right w:val="single" w:sz="4" w:space="0" w:color="AFC3E0"/>
          <w:insideH w:val="single" w:sz="4" w:space="0" w:color="AFC3E0"/>
          <w:insideV w:val="single" w:sz="4" w:space="0" w:color="AFC3E0"/>
        </w:tblBorders>
        <w:tblLayout w:type="fixed"/>
        <w:tblLook w:val="04A0" w:firstRow="1" w:lastRow="0" w:firstColumn="1" w:lastColumn="0" w:noHBand="0" w:noVBand="1"/>
      </w:tblPr>
      <w:tblGrid>
        <w:gridCol w:w="3213"/>
        <w:gridCol w:w="3213"/>
        <w:gridCol w:w="3213"/>
      </w:tblGrid>
      <w:tr w:rsidR="000B638A" w14:paraId="0A3E35CA" w14:textId="77777777">
        <w:trPr>
          <w:jc w:val="center"/>
        </w:trPr>
        <w:tc>
          <w:tcPr>
            <w:tcW w:w="3213" w:type="dxa"/>
            <w:shd w:val="clear" w:color="auto" w:fill="2F66B3"/>
          </w:tcPr>
          <w:p w14:paraId="618C9DAB" w14:textId="77777777" w:rsidR="000B638A" w:rsidRDefault="008F23F5">
            <w:pPr>
              <w:jc w:val="center"/>
            </w:pPr>
            <w:r>
              <w:rPr>
                <w:b/>
                <w:color w:val="FFFFFF"/>
                <w:sz w:val="15"/>
              </w:rPr>
              <w:t>Risk category</w:t>
            </w:r>
          </w:p>
        </w:tc>
        <w:tc>
          <w:tcPr>
            <w:tcW w:w="3213" w:type="dxa"/>
            <w:shd w:val="clear" w:color="auto" w:fill="2F66B3"/>
          </w:tcPr>
          <w:p w14:paraId="6A899E88" w14:textId="77777777" w:rsidR="000B638A" w:rsidRDefault="008F23F5">
            <w:pPr>
              <w:jc w:val="center"/>
            </w:pPr>
            <w:r>
              <w:rPr>
                <w:b/>
                <w:color w:val="FFFFFF"/>
                <w:sz w:val="15"/>
              </w:rPr>
              <w:t>Preventive control</w:t>
            </w:r>
          </w:p>
        </w:tc>
        <w:tc>
          <w:tcPr>
            <w:tcW w:w="3213" w:type="dxa"/>
            <w:shd w:val="clear" w:color="auto" w:fill="2F66B3"/>
          </w:tcPr>
          <w:p w14:paraId="3C93B973" w14:textId="77777777" w:rsidR="000B638A" w:rsidRDefault="008F23F5">
            <w:pPr>
              <w:jc w:val="center"/>
            </w:pPr>
            <w:r>
              <w:rPr>
                <w:b/>
                <w:color w:val="FFFFFF"/>
                <w:sz w:val="15"/>
              </w:rPr>
              <w:t>Monitoring evidence</w:t>
            </w:r>
          </w:p>
        </w:tc>
      </w:tr>
      <w:tr w:rsidR="000B638A" w14:paraId="4D4AEB1C" w14:textId="77777777">
        <w:trPr>
          <w:jc w:val="center"/>
        </w:trPr>
        <w:tc>
          <w:tcPr>
            <w:tcW w:w="3213" w:type="dxa"/>
            <w:vAlign w:val="center"/>
          </w:tcPr>
          <w:p w14:paraId="0FA24507" w14:textId="77777777" w:rsidR="000B638A" w:rsidRDefault="008F23F5">
            <w:pPr>
              <w:spacing w:after="0"/>
            </w:pPr>
            <w:r>
              <w:rPr>
                <w:color w:val="111111"/>
                <w:sz w:val="15"/>
              </w:rPr>
              <w:t>Data quality</w:t>
            </w:r>
          </w:p>
        </w:tc>
        <w:tc>
          <w:tcPr>
            <w:tcW w:w="3213" w:type="dxa"/>
            <w:vAlign w:val="center"/>
          </w:tcPr>
          <w:p w14:paraId="5F3ECB53" w14:textId="77777777" w:rsidR="000B638A" w:rsidRDefault="008F23F5">
            <w:pPr>
              <w:spacing w:after="0"/>
            </w:pPr>
            <w:r>
              <w:rPr>
                <w:color w:val="111111"/>
                <w:sz w:val="15"/>
              </w:rPr>
              <w:t>Validation, provenance, quarantine</w:t>
            </w:r>
          </w:p>
        </w:tc>
        <w:tc>
          <w:tcPr>
            <w:tcW w:w="3213" w:type="dxa"/>
            <w:vAlign w:val="center"/>
          </w:tcPr>
          <w:p w14:paraId="070B0852" w14:textId="77777777" w:rsidR="000B638A" w:rsidRDefault="008F23F5">
            <w:pPr>
              <w:spacing w:after="0"/>
            </w:pPr>
            <w:r>
              <w:rPr>
                <w:color w:val="111111"/>
                <w:sz w:val="15"/>
              </w:rPr>
              <w:t>Missingness and rejection logs</w:t>
            </w:r>
          </w:p>
        </w:tc>
      </w:tr>
      <w:tr w:rsidR="000B638A" w14:paraId="0C397600" w14:textId="77777777">
        <w:trPr>
          <w:jc w:val="center"/>
        </w:trPr>
        <w:tc>
          <w:tcPr>
            <w:tcW w:w="3213" w:type="dxa"/>
            <w:vAlign w:val="center"/>
          </w:tcPr>
          <w:p w14:paraId="4E2A6949" w14:textId="77777777" w:rsidR="000B638A" w:rsidRDefault="008F23F5">
            <w:pPr>
              <w:spacing w:after="0"/>
            </w:pPr>
            <w:r>
              <w:rPr>
                <w:color w:val="111111"/>
                <w:sz w:val="15"/>
              </w:rPr>
              <w:t>Model or rule failure</w:t>
            </w:r>
          </w:p>
        </w:tc>
        <w:tc>
          <w:tcPr>
            <w:tcW w:w="3213" w:type="dxa"/>
            <w:vAlign w:val="center"/>
          </w:tcPr>
          <w:p w14:paraId="4C1606BC" w14:textId="77777777" w:rsidR="000B638A" w:rsidRDefault="008F23F5">
            <w:pPr>
              <w:spacing w:after="0"/>
            </w:pPr>
            <w:r>
              <w:rPr>
                <w:color w:val="111111"/>
                <w:sz w:val="15"/>
              </w:rPr>
              <w:t>Calibration and bounded use</w:t>
            </w:r>
          </w:p>
        </w:tc>
        <w:tc>
          <w:tcPr>
            <w:tcW w:w="3213" w:type="dxa"/>
            <w:vAlign w:val="center"/>
          </w:tcPr>
          <w:p w14:paraId="040D45BF" w14:textId="77777777" w:rsidR="000B638A" w:rsidRDefault="008F23F5">
            <w:pPr>
              <w:spacing w:after="0"/>
            </w:pPr>
            <w:r>
              <w:rPr>
                <w:color w:val="111111"/>
                <w:sz w:val="15"/>
              </w:rPr>
              <w:t>Error and override patterns</w:t>
            </w:r>
          </w:p>
        </w:tc>
      </w:tr>
      <w:tr w:rsidR="000B638A" w14:paraId="1888586C" w14:textId="77777777">
        <w:trPr>
          <w:jc w:val="center"/>
        </w:trPr>
        <w:tc>
          <w:tcPr>
            <w:tcW w:w="3213" w:type="dxa"/>
            <w:vAlign w:val="center"/>
          </w:tcPr>
          <w:p w14:paraId="137087AA" w14:textId="77777777" w:rsidR="000B638A" w:rsidRDefault="008F23F5">
            <w:pPr>
              <w:spacing w:after="0"/>
            </w:pPr>
            <w:r>
              <w:rPr>
                <w:color w:val="111111"/>
                <w:sz w:val="15"/>
              </w:rPr>
              <w:t>Privacy and security</w:t>
            </w:r>
          </w:p>
        </w:tc>
        <w:tc>
          <w:tcPr>
            <w:tcW w:w="3213" w:type="dxa"/>
            <w:vAlign w:val="center"/>
          </w:tcPr>
          <w:p w14:paraId="5F1137EF" w14:textId="77777777" w:rsidR="000B638A" w:rsidRDefault="008F23F5">
            <w:pPr>
              <w:spacing w:after="0"/>
            </w:pPr>
            <w:r>
              <w:rPr>
                <w:color w:val="111111"/>
                <w:sz w:val="15"/>
              </w:rPr>
              <w:t>Minimisation, encryption, access control</w:t>
            </w:r>
          </w:p>
        </w:tc>
        <w:tc>
          <w:tcPr>
            <w:tcW w:w="3213" w:type="dxa"/>
            <w:vAlign w:val="center"/>
          </w:tcPr>
          <w:p w14:paraId="329BA7FD" w14:textId="77777777" w:rsidR="000B638A" w:rsidRDefault="008F23F5">
            <w:pPr>
              <w:spacing w:after="0"/>
            </w:pPr>
            <w:r>
              <w:rPr>
                <w:color w:val="111111"/>
                <w:sz w:val="15"/>
              </w:rPr>
              <w:t>Audit and incident records</w:t>
            </w:r>
          </w:p>
        </w:tc>
      </w:tr>
      <w:tr w:rsidR="000B638A" w14:paraId="0D0B457E" w14:textId="77777777">
        <w:trPr>
          <w:jc w:val="center"/>
        </w:trPr>
        <w:tc>
          <w:tcPr>
            <w:tcW w:w="3213" w:type="dxa"/>
            <w:vAlign w:val="center"/>
          </w:tcPr>
          <w:p w14:paraId="41B4F3F6" w14:textId="77777777" w:rsidR="000B638A" w:rsidRDefault="008F23F5">
            <w:pPr>
              <w:spacing w:after="0"/>
            </w:pPr>
            <w:r>
              <w:rPr>
                <w:color w:val="111111"/>
                <w:sz w:val="15"/>
              </w:rPr>
              <w:t>Human factors</w:t>
            </w:r>
          </w:p>
        </w:tc>
        <w:tc>
          <w:tcPr>
            <w:tcW w:w="3213" w:type="dxa"/>
            <w:vAlign w:val="center"/>
          </w:tcPr>
          <w:p w14:paraId="55FFFE35" w14:textId="77777777" w:rsidR="000B638A" w:rsidRDefault="008F23F5">
            <w:pPr>
              <w:spacing w:after="0"/>
            </w:pPr>
            <w:r>
              <w:rPr>
                <w:color w:val="111111"/>
                <w:sz w:val="15"/>
              </w:rPr>
              <w:t>Training, explanation, escalation</w:t>
            </w:r>
          </w:p>
        </w:tc>
        <w:tc>
          <w:tcPr>
            <w:tcW w:w="3213" w:type="dxa"/>
            <w:vAlign w:val="center"/>
          </w:tcPr>
          <w:p w14:paraId="58C808ED" w14:textId="77777777" w:rsidR="000B638A" w:rsidRDefault="008F23F5">
            <w:pPr>
              <w:spacing w:after="0"/>
            </w:pPr>
            <w:r>
              <w:rPr>
                <w:color w:val="111111"/>
                <w:sz w:val="15"/>
              </w:rPr>
              <w:t>Task error and complaint trends</w:t>
            </w:r>
          </w:p>
        </w:tc>
      </w:tr>
    </w:tbl>
    <w:p w14:paraId="04759AA4" w14:textId="77777777" w:rsidR="000B638A" w:rsidRDefault="008F23F5">
      <w:pPr>
        <w:spacing w:after="80"/>
        <w:jc w:val="both"/>
      </w:pPr>
      <w:r>
        <w:rPr>
          <w:color w:val="111111"/>
        </w:rPr>
        <w:t xml:space="preserve">Residual risk should be accepted only by a named authority with access to the supporting </w:t>
      </w:r>
      <w:r>
        <w:rPr>
          <w:color w:val="111111"/>
        </w:rPr>
        <w:t>evidence. Controls that depend on people, such as manual review or training, need capacity estimates and periodic competency checks. Controls that depend on technology need health monitoring and fallback behaviour. This distinction matters because a policy</w:t>
      </w:r>
      <w:r>
        <w:rPr>
          <w:color w:val="111111"/>
        </w:rPr>
        <w:t xml:space="preserve"> can appear comprehensive while failing operationally when reviewers are unavailable, logs are not examined, or alerts are routinely ignored.</w:t>
      </w:r>
    </w:p>
    <w:p w14:paraId="2EBA2AF8" w14:textId="77777777" w:rsidR="000B638A" w:rsidRDefault="008F23F5">
      <w:pPr>
        <w:pStyle w:val="JASTEH2"/>
      </w:pPr>
      <w:r>
        <w:t>6.1 DETAILED ENGINEERING CONSIDERATIONS</w:t>
      </w:r>
    </w:p>
    <w:p w14:paraId="370F3812" w14:textId="77777777" w:rsidR="000B638A" w:rsidRDefault="008F23F5">
      <w:pPr>
        <w:spacing w:after="80"/>
        <w:jc w:val="both"/>
      </w:pPr>
      <w:r>
        <w:rPr>
          <w:color w:val="111111"/>
        </w:rPr>
        <w:t>Requirements traceability should begin with a matrix that links the stated</w:t>
      </w:r>
      <w:r>
        <w:rPr>
          <w:color w:val="111111"/>
        </w:rPr>
        <w:t xml:space="preserve"> purpose of a human-supervised machine-learning screening pipeline to data elements, processing functions, interface behaviour, validation measures, and responsible roles. A requirement is incomplete when it names a feature but not the condition under whic</w:t>
      </w:r>
      <w:r>
        <w:rPr>
          <w:color w:val="111111"/>
        </w:rPr>
        <w:t>h the feature must operate. Traceability also allows an auditor to determine whether a later software update changes a safety-relevant assumption or introduces a function that was never evaluated in the original protocol.</w:t>
      </w:r>
    </w:p>
    <w:p w14:paraId="5DE6EB6B" w14:textId="77777777" w:rsidR="000B638A" w:rsidRDefault="008F23F5">
      <w:pPr>
        <w:spacing w:after="80"/>
        <w:jc w:val="both"/>
      </w:pPr>
      <w:r>
        <w:rPr>
          <w:color w:val="111111"/>
        </w:rPr>
        <w:t>The input specification must disti</w:t>
      </w:r>
      <w:r>
        <w:rPr>
          <w:color w:val="111111"/>
        </w:rPr>
        <w:t xml:space="preserve">nguish raw observations, derived variables, contextual metadata, and reviewer annotations. For this application, relevant inputs include public posts, captions, hashtags, source metadata, timestamps, engagement signals, and verified contextual references. </w:t>
      </w:r>
      <w:r>
        <w:rPr>
          <w:color w:val="111111"/>
        </w:rPr>
        <w:t xml:space="preserve">Each field requires a definition, allowable range, unit, timestamp convention, source identifier, missing-value code, and quality flag. Treating metadata as optional </w:t>
      </w:r>
      <w:r>
        <w:rPr>
          <w:color w:val="111111"/>
        </w:rPr>
        <w:lastRenderedPageBreak/>
        <w:t>documentation rather than as part of the analytical record would make it difficult to repr</w:t>
      </w:r>
      <w:r>
        <w:rPr>
          <w:color w:val="111111"/>
        </w:rPr>
        <w:t>oduce processing or explain why two apparently similar cases received different outputs.</w:t>
      </w:r>
    </w:p>
    <w:p w14:paraId="7EE262C0" w14:textId="77777777" w:rsidR="000B638A" w:rsidRDefault="008F23F5">
      <w:pPr>
        <w:spacing w:after="80"/>
        <w:jc w:val="both"/>
      </w:pPr>
      <w:r>
        <w:rPr>
          <w:color w:val="111111"/>
        </w:rPr>
        <w:t>Data-quality control should operate before, during, and after analysis. Pre-processing checks identify incomplete, corrupted, duplicated, or implausible records. In-pr</w:t>
      </w:r>
      <w:r>
        <w:rPr>
          <w:color w:val="111111"/>
        </w:rPr>
        <w:t>ocess checks detect numerical instability, unsupported formats, and component failures. Post-process checks determine whether outputs are internally consistent and accompanied by the evidence needed for interpretation. The system should preserve rejected r</w:t>
      </w:r>
      <w:r>
        <w:rPr>
          <w:color w:val="111111"/>
        </w:rPr>
        <w:t>ecords and rejection reasons for quality monitoring, while ensuring they do not silently enter a decision as valid low values.</w:t>
      </w:r>
    </w:p>
    <w:p w14:paraId="4DF35BC1" w14:textId="77777777" w:rsidR="000B638A" w:rsidRDefault="008F23F5">
      <w:pPr>
        <w:spacing w:after="80"/>
        <w:jc w:val="both"/>
      </w:pPr>
      <w:r>
        <w:rPr>
          <w:color w:val="111111"/>
        </w:rPr>
        <w:t xml:space="preserve">A modular architecture is preferable because analytical techniques, devices, platforms, and standards evolve at different rates. </w:t>
      </w:r>
      <w:r>
        <w:rPr>
          <w:color w:val="111111"/>
        </w:rPr>
        <w:t>Modules should exchange data through documented interfaces and should expose status codes rather than hiding failures behind default values. Containerisation or equivalent environment control can improve reproducibility, but it does not replace documentati</w:t>
      </w:r>
      <w:r>
        <w:rPr>
          <w:color w:val="111111"/>
        </w:rPr>
        <w:t>on of dependencies, random seeds, configuration files, and model artefacts. Reproducibility requires both executable software and a comprehensible record of how it was used.</w:t>
      </w:r>
    </w:p>
    <w:p w14:paraId="0C13ECA2" w14:textId="77777777" w:rsidR="000B638A" w:rsidRDefault="008F23F5">
      <w:pPr>
        <w:spacing w:after="80"/>
        <w:jc w:val="both"/>
      </w:pPr>
      <w:r>
        <w:rPr>
          <w:color w:val="111111"/>
        </w:rPr>
        <w:t>Feature engineering should be justified by the domain problem rather than by conve</w:t>
      </w:r>
      <w:r>
        <w:rPr>
          <w:color w:val="111111"/>
        </w:rPr>
        <w:t>nience alone. Candidate features may reflect patterns in financial-information integrity on social-media platforms, including message-based, user-based, and propagation-based indicators shown to be informative in prior rumor-detection research (Kwon et al.</w:t>
      </w:r>
      <w:r>
        <w:rPr>
          <w:color w:val="111111"/>
        </w:rPr>
        <w:t xml:space="preserve">, 2013), but their meaning can change across populations, devices, languages, or operating conditions. Exploratory associations therefore should not automatically become decision rules. Stability analysis, ablation testing, and expert review can determine </w:t>
      </w:r>
      <w:r>
        <w:rPr>
          <w:color w:val="111111"/>
        </w:rPr>
        <w:t>whether a feature contributes useful information, acts as a proxy for an irrelevant characteristic, or increases complexity without improving decisions.</w:t>
      </w:r>
    </w:p>
    <w:p w14:paraId="7369BD71" w14:textId="77777777" w:rsidR="000B638A" w:rsidRDefault="008F23F5">
      <w:pPr>
        <w:spacing w:after="80"/>
        <w:jc w:val="both"/>
      </w:pPr>
      <w:r>
        <w:rPr>
          <w:color w:val="111111"/>
        </w:rPr>
        <w:t>When machine-learning or rule-based components are compared, the baseline must represent a credible alt</w:t>
      </w:r>
      <w:r>
        <w:rPr>
          <w:color w:val="111111"/>
        </w:rPr>
        <w:t>ernative rather than an intentionally weak comparator. A simple and transparent baseline is valuable because it shows whether additional complexity produces a meaningful improvement. Comparisons should hold data partitions, evaluation conditions, and decis</w:t>
      </w:r>
      <w:r>
        <w:rPr>
          <w:color w:val="111111"/>
        </w:rPr>
        <w:t>ion thresholds constant. If a more complex model offers only a small average gain while increasing latency, maintenance burden, or subgroup disparity, the simpler option may be preferable.</w:t>
      </w:r>
    </w:p>
    <w:p w14:paraId="3A9599E7" w14:textId="77777777" w:rsidR="000B638A" w:rsidRDefault="008F23F5">
      <w:pPr>
        <w:spacing w:after="80"/>
        <w:jc w:val="both"/>
      </w:pPr>
      <w:r>
        <w:rPr>
          <w:color w:val="111111"/>
        </w:rPr>
        <w:t>Uncertainty should be represented explicitly at component and syste</w:t>
      </w:r>
      <w:r>
        <w:rPr>
          <w:color w:val="111111"/>
        </w:rPr>
        <w:t>m levels. Component uncertainty can arise from poor input quality, ambiguous patterns, missing context, or an observation outside the development distribution. System-level uncertainty also reflects disagreement among components. The architecture should de</w:t>
      </w:r>
      <w:r>
        <w:rPr>
          <w:color w:val="111111"/>
        </w:rPr>
        <w:t>fine when uncertainty produces an informational warning, requests additional evidence, routes the case to a reviewer, or causes the system to abstain. Abstention is a designed safety response, not an analytical failure.</w:t>
      </w:r>
    </w:p>
    <w:p w14:paraId="183E0485" w14:textId="77777777" w:rsidR="000B638A" w:rsidRDefault="008F23F5">
      <w:pPr>
        <w:spacing w:after="80"/>
        <w:jc w:val="both"/>
      </w:pPr>
      <w:r>
        <w:rPr>
          <w:color w:val="111111"/>
        </w:rPr>
        <w:t>Threshold selection should follow th</w:t>
      </w:r>
      <w:r>
        <w:rPr>
          <w:color w:val="111111"/>
        </w:rPr>
        <w:t>e consequences of error. False acceptance and false rejection rarely have equal operational costs, and those costs may vary by case. Decision-curve analysis, cost-sensitive evaluation, or scenario-based stakeholder review can help identify defensible thres</w:t>
      </w:r>
      <w:r>
        <w:rPr>
          <w:color w:val="111111"/>
        </w:rPr>
        <w:t>holds. Thresholds should not be selected solely to maximise one summary statistic. The final report must state the selected threshold, the resulting error trade-off, and the conditions under which a different threshold would be required.</w:t>
      </w:r>
    </w:p>
    <w:p w14:paraId="1E400E60" w14:textId="77777777" w:rsidR="000B638A" w:rsidRDefault="008F23F5">
      <w:pPr>
        <w:spacing w:after="80"/>
        <w:jc w:val="both"/>
      </w:pPr>
      <w:r>
        <w:rPr>
          <w:color w:val="111111"/>
        </w:rPr>
        <w:t xml:space="preserve">Human review </w:t>
      </w:r>
      <w:r>
        <w:rPr>
          <w:color w:val="111111"/>
        </w:rPr>
        <w:t>remains central because the intended users include financial-literacy educators, platform moderators, compliance teams, researchers, and trained human reviewers. Reviewers need a defined task, access to relevant evidence, competence requirements, and autho</w:t>
      </w:r>
      <w:r>
        <w:rPr>
          <w:color w:val="111111"/>
        </w:rPr>
        <w:t xml:space="preserve">rity to override the system. The interface should record the reviewer’s decision and rationale without pressuring agreement with the automated suggestion, following design guidance for effective human-AI collaboration (Amershi et al., 2019). Reviewers who </w:t>
      </w:r>
      <w:r>
        <w:rPr>
          <w:color w:val="111111"/>
        </w:rPr>
        <w:t>over-trust generally reliable systems can develop complacency and automation bias that degrade their ability to detect the system's errors (Parasuraman &amp; Manzey, 2010). Override rates are useful monitoring signals, but a high or low rate is not automatical</w:t>
      </w:r>
      <w:r>
        <w:rPr>
          <w:color w:val="111111"/>
        </w:rPr>
        <w:t>ly good; the pattern must be interpreted alongside case difficulty, calibration, and reviewer consistency.</w:t>
      </w:r>
    </w:p>
    <w:p w14:paraId="1A744B39" w14:textId="77777777" w:rsidR="000B638A" w:rsidRDefault="008F23F5">
      <w:pPr>
        <w:spacing w:after="80"/>
        <w:jc w:val="both"/>
      </w:pPr>
      <w:r>
        <w:rPr>
          <w:color w:val="111111"/>
        </w:rPr>
        <w:t>Explanation design should answer practical questions: what evidence influenced the output, which evidence was missing, how reliable were the componen</w:t>
      </w:r>
      <w:r>
        <w:rPr>
          <w:color w:val="111111"/>
        </w:rPr>
        <w:t>ts, what limitations apply, and what action is recommended next. Technical feature rankings may be useful to developers but insufficient for domain users. Explanations should be evaluated for correct interpretation, not merely for user preference. A visual</w:t>
      </w:r>
      <w:r>
        <w:rPr>
          <w:color w:val="111111"/>
        </w:rPr>
        <w:t>ly attractive explanation can be harmful if it creates unwarranted confidence or conceals uncertainty.</w:t>
      </w:r>
    </w:p>
    <w:p w14:paraId="7A769515" w14:textId="77777777" w:rsidR="000B638A" w:rsidRDefault="008F23F5">
      <w:pPr>
        <w:spacing w:after="80"/>
        <w:jc w:val="both"/>
      </w:pPr>
      <w:r>
        <w:rPr>
          <w:color w:val="111111"/>
        </w:rPr>
        <w:t>The audit trail should support reconstruction of a decision at the time it was made. Required elements include input identifiers and hashes where appropr</w:t>
      </w:r>
      <w:r>
        <w:rPr>
          <w:color w:val="111111"/>
        </w:rPr>
        <w:t>iate, consent or authority status, software and model versions, configuration values, component warnings, timestamps, reviewer actions, and final disposition. Audit records need access controls and retention rules. They should be searchable for incident an</w:t>
      </w:r>
      <w:r>
        <w:rPr>
          <w:color w:val="111111"/>
        </w:rPr>
        <w:t>alysis while avoiding unnecessary replication of sensitive source information.</w:t>
      </w:r>
    </w:p>
    <w:p w14:paraId="32423C7E" w14:textId="77777777" w:rsidR="000B638A" w:rsidRDefault="008F23F5">
      <w:pPr>
        <w:spacing w:after="80"/>
        <w:jc w:val="both"/>
      </w:pPr>
      <w:r>
        <w:rPr>
          <w:color w:val="111111"/>
        </w:rPr>
        <w:t xml:space="preserve">Security analysis should adopt a threat model that identifies assets, actors, attack surfaces, and plausible consequences. Threats may include unauthorised access, manipulation </w:t>
      </w:r>
      <w:r>
        <w:rPr>
          <w:color w:val="111111"/>
        </w:rPr>
        <w:t xml:space="preserve">of inputs, replay or duplication, model extraction, malicious files, compromised dependencies, or alteration of logs. Controls should be tested through code review, dependency scanning, authentication checks, adversarial scenarios, and recovery exercises. </w:t>
      </w:r>
      <w:r>
        <w:rPr>
          <w:color w:val="111111"/>
        </w:rPr>
        <w:t>A system cannot be considered reliable if an attacker can bypass the analytical safeguards through a weaker operational interface.</w:t>
      </w:r>
    </w:p>
    <w:p w14:paraId="32177CF9" w14:textId="77777777" w:rsidR="000B638A" w:rsidRDefault="008F23F5">
      <w:pPr>
        <w:spacing w:after="80"/>
        <w:jc w:val="both"/>
      </w:pPr>
      <w:r>
        <w:rPr>
          <w:color w:val="111111"/>
        </w:rPr>
        <w:lastRenderedPageBreak/>
        <w:t>Privacy-by-design requires limiting collection to the declared purpose and providing a documented retention schedule. Pseudon</w:t>
      </w:r>
      <w:r>
        <w:rPr>
          <w:color w:val="111111"/>
        </w:rPr>
        <w:t>ymisation may reduce exposure but does not eliminate re-identification risk when contextual fields are rich. Access should be role-based and periodically reviewed. Privacy testing should include export, backup, logging, and support workflows because sensit</w:t>
      </w:r>
      <w:r>
        <w:rPr>
          <w:color w:val="111111"/>
        </w:rPr>
        <w:t>ive data often escape the primary database through secondary operational processes rather than through the intended analytical path.</w:t>
      </w:r>
    </w:p>
    <w:p w14:paraId="4A223612" w14:textId="77777777" w:rsidR="000B638A" w:rsidRDefault="008F23F5">
      <w:pPr>
        <w:spacing w:after="80"/>
        <w:jc w:val="both"/>
      </w:pPr>
      <w:r>
        <w:rPr>
          <w:color w:val="111111"/>
        </w:rPr>
        <w:t>Performance monitoring after deployment should cover precision, recall, F1-score, area under the precision–recall curve, ca</w:t>
      </w:r>
      <w:r>
        <w:rPr>
          <w:color w:val="111111"/>
        </w:rPr>
        <w:t>libration error, subgroup robustness, reviewer agreement, and review workload. Monitoring needs reference ranges, alert thresholds, and an investigation procedure. A change in output distribution may reflect population change, a platform update, device rep</w:t>
      </w:r>
      <w:r>
        <w:rPr>
          <w:color w:val="111111"/>
        </w:rPr>
        <w:t>lacement, reviewer behaviour, or a genuine change in the underlying phenomenon, consistent with the broader concept-drift literature in adaptive learning systems (Gama et al., 2014). Automated retraining should not occur merely because drift is detected; t</w:t>
      </w:r>
      <w:r>
        <w:rPr>
          <w:color w:val="111111"/>
        </w:rPr>
        <w:t>he cause and safety consequences must be understood before the production system is modified.</w:t>
      </w:r>
    </w:p>
    <w:p w14:paraId="1D8133AC" w14:textId="77777777" w:rsidR="000B638A" w:rsidRDefault="008F23F5">
      <w:pPr>
        <w:spacing w:after="80"/>
        <w:jc w:val="both"/>
      </w:pPr>
      <w:r>
        <w:rPr>
          <w:color w:val="111111"/>
        </w:rPr>
        <w:t>Subgroup analysis should be planned before final evaluation. Relevant groupings may involve language, age, device, environment, experience, accessibility requirem</w:t>
      </w:r>
      <w:r>
        <w:rPr>
          <w:color w:val="111111"/>
        </w:rPr>
        <w:t>ent, or service setting. Small groups require careful uncertainty reporting and should not be omitted simply because estimates are less precise. If a subgroup cannot be evaluated adequately, the limitation should define a deployment restriction or a target</w:t>
      </w:r>
      <w:r>
        <w:rPr>
          <w:color w:val="111111"/>
        </w:rPr>
        <w:t>ed data-collection priority rather than being reduced to a brief caveat.</w:t>
      </w:r>
    </w:p>
    <w:p w14:paraId="00A80CE1" w14:textId="77777777" w:rsidR="000B638A" w:rsidRDefault="008F23F5">
      <w:pPr>
        <w:spacing w:after="80"/>
        <w:jc w:val="both"/>
      </w:pPr>
      <w:r>
        <w:rPr>
          <w:color w:val="111111"/>
        </w:rPr>
        <w:t>Usability evaluation should use representative tasks and realistic constraints. Participants should encounter routine cases, ambiguous evidence, system warnings, and a recoverable fai</w:t>
      </w:r>
      <w:r>
        <w:rPr>
          <w:color w:val="111111"/>
        </w:rPr>
        <w:t>lure. Researchers should measure task completion, time, navigation errors, interpretation, confidence calibration, and use of help or escalation. Think-aloud methods and post-task interviews can explain why an error occurred. Satisfaction scores alone cann</w:t>
      </w:r>
      <w:r>
        <w:rPr>
          <w:color w:val="111111"/>
        </w:rPr>
        <w:t>ot establish that users understood the output or relied on it appropriately.</w:t>
      </w:r>
    </w:p>
    <w:p w14:paraId="4A02BA7A" w14:textId="77777777" w:rsidR="000B638A" w:rsidRDefault="008F23F5">
      <w:pPr>
        <w:spacing w:after="80"/>
        <w:jc w:val="both"/>
      </w:pPr>
      <w:r>
        <w:rPr>
          <w:color w:val="111111"/>
        </w:rPr>
        <w:t>Operational resilience requires graceful degradation. When connectivity, sensors, external services, or analytical modules are unavailable, the system should preserve data safely,</w:t>
      </w:r>
      <w:r>
        <w:rPr>
          <w:color w:val="111111"/>
        </w:rPr>
        <w:t xml:space="preserve"> communicate status accurately, and provide an alternative workflow. Recovery testing should confirm that queued records are processed once, not lost or duplicated, and that timestamps remain interpretable. Business-continuity plans should identify minimum</w:t>
      </w:r>
      <w:r>
        <w:rPr>
          <w:color w:val="111111"/>
        </w:rPr>
        <w:t xml:space="preserve"> functions, responsible personnel, backup locations, and the maximum acceptable interruption.</w:t>
      </w:r>
    </w:p>
    <w:p w14:paraId="65B8B0A3" w14:textId="77777777" w:rsidR="000B638A" w:rsidRDefault="008F23F5">
      <w:pPr>
        <w:spacing w:after="80"/>
        <w:jc w:val="both"/>
      </w:pPr>
      <w:r>
        <w:rPr>
          <w:color w:val="111111"/>
        </w:rPr>
        <w:t>A staged implementation is necessary because a versioned screening service with threshold monitoring, reviewer feedback, audit logs, and scheduled drift assessmen</w:t>
      </w:r>
      <w:r>
        <w:rPr>
          <w:color w:val="111111"/>
        </w:rPr>
        <w:t xml:space="preserve">t. The offline stage verifies component behaviour; a sandbox stage tests integration without affecting real decisions; a limited pilot examines usability and workflow; supervised operation evaluates real-world errors; and broader release occurs only after </w:t>
      </w:r>
      <w:r>
        <w:rPr>
          <w:color w:val="111111"/>
        </w:rPr>
        <w:t>predefined criteria are met. Each stage should produce a decision record documenting evidence, unresolved risks, corrective actions, and approval to proceed.</w:t>
      </w:r>
    </w:p>
    <w:p w14:paraId="795D4C1B" w14:textId="77777777" w:rsidR="000B638A" w:rsidRDefault="008F23F5">
      <w:pPr>
        <w:spacing w:after="80"/>
        <w:jc w:val="both"/>
      </w:pPr>
      <w:r>
        <w:rPr>
          <w:color w:val="111111"/>
        </w:rPr>
        <w:t>Prototype evaluation for a human-supervised machine-learning screening pipeline should use an impl</w:t>
      </w:r>
      <w:r>
        <w:rPr>
          <w:color w:val="111111"/>
        </w:rPr>
        <w:t>ementation dossier prepared before testing begins. The dossier should contain the architecture diagram, data dictionary, software bill of materials, configuration baseline, test cases, risk register, and decision log. Preparing these materials early reveal</w:t>
      </w:r>
      <w:r>
        <w:rPr>
          <w:color w:val="111111"/>
        </w:rPr>
        <w:t>s missing assumptions and prevents documentation from being reconstructed retrospectively after favourable results are known. The dossier also provides a stable reference for independent reviewers and later replication.</w:t>
      </w:r>
    </w:p>
    <w:p w14:paraId="0B3DA16C" w14:textId="77777777" w:rsidR="000B638A" w:rsidRDefault="008F23F5">
      <w:pPr>
        <w:spacing w:after="80"/>
        <w:jc w:val="both"/>
      </w:pPr>
      <w:r>
        <w:rPr>
          <w:color w:val="111111"/>
        </w:rPr>
        <w:t>Test cases should be derived from re</w:t>
      </w:r>
      <w:r>
        <w:rPr>
          <w:color w:val="111111"/>
        </w:rPr>
        <w:t>quirements and hazards. Positive cases confirm expected functions, boundary cases examine limits, negative cases verify rejection or abstention, and recovery cases examine behaviour after interruption or corrupted input. Every critical requirement should m</w:t>
      </w:r>
      <w:r>
        <w:rPr>
          <w:color w:val="111111"/>
        </w:rPr>
        <w:t>ap to at least one test, and every high-severity hazard should map to a control verification. Coverage should be reported explicitly rather than inferred from the number of tests conducted.</w:t>
      </w:r>
    </w:p>
    <w:p w14:paraId="56665837" w14:textId="77777777" w:rsidR="000B638A" w:rsidRDefault="008F23F5">
      <w:pPr>
        <w:spacing w:after="80"/>
        <w:jc w:val="both"/>
      </w:pPr>
      <w:r>
        <w:rPr>
          <w:color w:val="111111"/>
        </w:rPr>
        <w:t>Pilot sampling should represent the intended operating range, incl</w:t>
      </w:r>
      <w:r>
        <w:rPr>
          <w:color w:val="111111"/>
        </w:rPr>
        <w:t>uding common cases and difficult conditions. Convenience samples can be useful for early debugging but cannot establish deployment readiness. Recruitment and case selection should document who or what is absent from the evidence. Where rare but serious eve</w:t>
      </w:r>
      <w:r>
        <w:rPr>
          <w:color w:val="111111"/>
        </w:rPr>
        <w:t>nts cannot be sampled prospectively, carefully designed simulations or retrospective challenge sets may supplement—but should not be confused with—field effectiveness evidence.</w:t>
      </w:r>
    </w:p>
    <w:p w14:paraId="2F5327B9" w14:textId="77777777" w:rsidR="000B638A" w:rsidRDefault="008F23F5">
      <w:pPr>
        <w:spacing w:after="80"/>
        <w:jc w:val="both"/>
      </w:pPr>
      <w:r>
        <w:rPr>
          <w:color w:val="111111"/>
        </w:rPr>
        <w:t xml:space="preserve">Quantitative analysis should report uncertainty and avoid excessive precision. </w:t>
      </w:r>
      <w:r>
        <w:rPr>
          <w:color w:val="111111"/>
        </w:rPr>
        <w:t>Confidence intervals, bootstrap estimates, or repeated-test variation can indicate whether apparent differences are stable. Multiple comparisons and repeated tuning on the same validation set can create optimistic findings. A protected final test set, inde</w:t>
      </w:r>
      <w:r>
        <w:rPr>
          <w:color w:val="111111"/>
        </w:rPr>
        <w:t>pendent replication, or temporal validation helps reduce this risk. Statistical significance should be interpreted together with operational magnitude and consequences.</w:t>
      </w:r>
    </w:p>
    <w:p w14:paraId="2427B3B5" w14:textId="77777777" w:rsidR="000B638A" w:rsidRDefault="008F23F5">
      <w:pPr>
        <w:spacing w:after="80"/>
        <w:jc w:val="both"/>
      </w:pPr>
      <w:r>
        <w:rPr>
          <w:color w:val="111111"/>
        </w:rPr>
        <w:t>Qualitative evidence can clarify failures that numeric metrics compress into a single c</w:t>
      </w:r>
      <w:r>
        <w:rPr>
          <w:color w:val="111111"/>
        </w:rPr>
        <w:t>ategory. Structured review of error examples, user comments, and incident narratives should identify recurring mechanisms and contextual triggers. Coding procedures need definitions and reviewer checks when qualitative categories influence design decisions</w:t>
      </w:r>
      <w:r>
        <w:rPr>
          <w:color w:val="111111"/>
        </w:rPr>
        <w:t>. Representative examples may be reported after appropriate de-identification, while ensuring that selected examples do not replace systematic analysis of the entire evaluation set.</w:t>
      </w:r>
    </w:p>
    <w:p w14:paraId="2225F5E1" w14:textId="77777777" w:rsidR="000B638A" w:rsidRDefault="008F23F5">
      <w:pPr>
        <w:spacing w:after="80"/>
        <w:jc w:val="both"/>
      </w:pPr>
      <w:r>
        <w:rPr>
          <w:color w:val="111111"/>
        </w:rPr>
        <w:lastRenderedPageBreak/>
        <w:t>Acceptance criteria should be hierarchical. Critical safety, privacy, secu</w:t>
      </w:r>
      <w:r>
        <w:rPr>
          <w:color w:val="111111"/>
        </w:rPr>
        <w:t>rity, and data-integrity requirements must pass before optimisation of convenience or speed. Secondary targets can guide improvement but should not compensate for a failed critical control. The evaluation report should list every criterion, observed result</w:t>
      </w:r>
      <w:r>
        <w:rPr>
          <w:color w:val="111111"/>
        </w:rPr>
        <w:t>, disposition, and corrective action. Conditional acceptance must identify an owner and deadline rather than remaining an indefinite exception.</w:t>
      </w:r>
    </w:p>
    <w:p w14:paraId="25568B63" w14:textId="77777777" w:rsidR="000B638A" w:rsidRDefault="008F23F5">
      <w:pPr>
        <w:spacing w:after="80"/>
        <w:jc w:val="both"/>
      </w:pPr>
      <w:r>
        <w:rPr>
          <w:color w:val="111111"/>
        </w:rPr>
        <w:t>External review is valuable when the development team has made many interconnected design choices. Reviewers can</w:t>
      </w:r>
      <w:r>
        <w:rPr>
          <w:color w:val="111111"/>
        </w:rPr>
        <w:t xml:space="preserve"> examine whether the evidence supports the declared operating boundary, whether important comparators or risks were omitted, and whether explanations overstate certainty. External review does not transfer accountability away from the deploying organisation</w:t>
      </w:r>
      <w:r>
        <w:rPr>
          <w:color w:val="111111"/>
        </w:rPr>
        <w:t>, but it can expose assumptions that have become normalised within the project team.</w:t>
      </w:r>
    </w:p>
    <w:p w14:paraId="042E15DB" w14:textId="77777777" w:rsidR="000B638A" w:rsidRDefault="008F23F5">
      <w:pPr>
        <w:spacing w:after="80"/>
        <w:jc w:val="both"/>
      </w:pPr>
      <w:r>
        <w:rPr>
          <w:color w:val="111111"/>
        </w:rPr>
        <w:t>The service workflow should define how outputs reach financial-literacy educators, platform moderators, compliance teams, researchers, and trained human reviewers, how ack</w:t>
      </w:r>
      <w:r>
        <w:rPr>
          <w:color w:val="111111"/>
        </w:rPr>
        <w:t>nowledgement is recorded, and what happens when an output is not reviewed in time. Queue prioritisation, escalation timing, workload limits, and handover procedures can materially affect outcomes even when the analytical component performs as specified. Op</w:t>
      </w:r>
      <w:r>
        <w:rPr>
          <w:color w:val="111111"/>
        </w:rPr>
        <w:t>erational validation should therefore measure the complete pathway from input acquisition to documented action, not only computation in isolation.</w:t>
      </w:r>
    </w:p>
    <w:p w14:paraId="77093192" w14:textId="77777777" w:rsidR="000B638A" w:rsidRDefault="008F23F5">
      <w:pPr>
        <w:spacing w:after="80"/>
        <w:jc w:val="both"/>
      </w:pPr>
      <w:r>
        <w:rPr>
          <w:color w:val="111111"/>
        </w:rPr>
        <w:t xml:space="preserve">Documentation should be layered for different audiences. A concise user guide explains purpose, limitations, </w:t>
      </w:r>
      <w:r>
        <w:rPr>
          <w:color w:val="111111"/>
        </w:rPr>
        <w:t>routine tasks, warnings, and support. A reviewer guide explains interpretation and escalation. A technical manual records architecture, installation, configuration, interfaces, monitoring, backup, and recovery. A governance file records approvals, risk dec</w:t>
      </w:r>
      <w:r>
        <w:rPr>
          <w:color w:val="111111"/>
        </w:rPr>
        <w:t>isions, incident procedures, and change control. Inconsistencies among these documents should block release until corrected.</w:t>
      </w:r>
    </w:p>
    <w:p w14:paraId="36BFA507" w14:textId="77777777" w:rsidR="000B638A" w:rsidRDefault="008F23F5">
      <w:pPr>
        <w:spacing w:after="80"/>
        <w:jc w:val="both"/>
      </w:pPr>
      <w:r>
        <w:rPr>
          <w:color w:val="111111"/>
        </w:rPr>
        <w:t>Sustainability also depends on data stewardship. The organisation should determine who can correct records, how corrections propaga</w:t>
      </w:r>
      <w:r>
        <w:rPr>
          <w:color w:val="111111"/>
        </w:rPr>
        <w:t>te to derived outputs, how archived versions remain interpretable, and when data should be destroyed. Long-term access to a file is not equivalent to preservation if formats, software, schemas, or contextual definitions are lost. Periodic restoration and m</w:t>
      </w:r>
      <w:r>
        <w:rPr>
          <w:color w:val="111111"/>
        </w:rPr>
        <w:t>igration tests should be part of maintenance.</w:t>
      </w:r>
    </w:p>
    <w:p w14:paraId="712AC21A" w14:textId="77777777" w:rsidR="000B638A" w:rsidRDefault="008F23F5">
      <w:pPr>
        <w:spacing w:after="80"/>
        <w:jc w:val="both"/>
      </w:pPr>
      <w:r>
        <w:rPr>
          <w:color w:val="111111"/>
        </w:rPr>
        <w:t>Decommissioning criteria should be planned before deployment. A system may need retirement because dependencies are unsupported, performance drifts beyond correction, the purpose changes, risks become unaccepta</w:t>
      </w:r>
      <w:r>
        <w:rPr>
          <w:color w:val="111111"/>
        </w:rPr>
        <w:t>ble, or a superior process replaces it. Decommissioning must preserve required records, revoke access, remove credentials, communicate changes, and provide continuity for users. Without such planning, obsolete components can remain active and create hidden</w:t>
      </w:r>
      <w:r>
        <w:rPr>
          <w:color w:val="111111"/>
        </w:rPr>
        <w:t xml:space="preserve"> operational or security exposure.</w:t>
      </w:r>
    </w:p>
    <w:p w14:paraId="10654101" w14:textId="77777777" w:rsidR="000B638A" w:rsidRDefault="008F23F5">
      <w:pPr>
        <w:spacing w:after="80"/>
        <w:jc w:val="both"/>
      </w:pPr>
      <w:r>
        <w:rPr>
          <w:color w:val="111111"/>
        </w:rPr>
        <w:t>The proposed framework should ultimately be judged by whether it enables disciplined learning. Monitoring and incident analysis should feed a controlled improvement cycle: detect a problem, investigate its cause, define a</w:t>
      </w:r>
      <w:r>
        <w:rPr>
          <w:color w:val="111111"/>
        </w:rPr>
        <w:t xml:space="preserve"> corrective action, test the change, obtain approval, deploy gradually, and verify effectiveness. This cycle converts operational experience into evidence while preventing rapid untested modifications from undermining comparability, safety, or accountabili</w:t>
      </w:r>
      <w:r>
        <w:rPr>
          <w:color w:val="111111"/>
        </w:rPr>
        <w:t>ty.</w:t>
      </w:r>
    </w:p>
    <w:p w14:paraId="177B8A06" w14:textId="77777777" w:rsidR="000B638A" w:rsidRDefault="008F23F5">
      <w:pPr>
        <w:pStyle w:val="JASTEH1"/>
      </w:pPr>
      <w:r>
        <w:t>7. IMPLEMENTATION AND OPERATIONAL ROADMAP</w:t>
      </w:r>
    </w:p>
    <w:p w14:paraId="796AC6AB" w14:textId="77777777" w:rsidR="000B638A" w:rsidRDefault="008F23F5">
      <w:pPr>
        <w:spacing w:after="80"/>
        <w:jc w:val="both"/>
      </w:pPr>
      <w:r>
        <w:rPr>
          <w:color w:val="111111"/>
        </w:rPr>
        <w:t>The proposed deployment model is a versioned screening service with threshold monitoring, reviewer feedback, audit logs, and scheduled drift assessment. Implementation should proceed from offline verification t</w:t>
      </w:r>
      <w:r>
        <w:rPr>
          <w:color w:val="111111"/>
        </w:rPr>
        <w:t>o a limited pilot, supervised operational use, and only then broader release. Each stage needs entry and exit criteria covering technical performance, safety, usability, training, support capacity, and unresolved risks.</w:t>
      </w:r>
    </w:p>
    <w:p w14:paraId="10547AB2" w14:textId="77777777" w:rsidR="000B638A" w:rsidRDefault="008F23F5">
      <w:pPr>
        <w:spacing w:after="80"/>
        <w:jc w:val="both"/>
      </w:pPr>
      <w:r>
        <w:rPr>
          <w:color w:val="111111"/>
        </w:rPr>
        <w:t>Operational monitoring should distin</w:t>
      </w:r>
      <w:r>
        <w:rPr>
          <w:color w:val="111111"/>
        </w:rPr>
        <w:t>guish service health from decision quality. Availability, latency, battery use, failed uploads, and processing errors describe service health; calibration drift, false-alert patterns, reviewer overrides, user complaints, and subgroup disparities describe d</w:t>
      </w:r>
      <w:r>
        <w:rPr>
          <w:color w:val="111111"/>
        </w:rPr>
        <w:t>ecision quality. Both categories require dashboards and predefined investigation thresholds.</w:t>
      </w:r>
    </w:p>
    <w:p w14:paraId="13F3B9C9" w14:textId="77777777" w:rsidR="000B638A" w:rsidRDefault="008F23F5">
      <w:pPr>
        <w:spacing w:before="100" w:after="60"/>
        <w:jc w:val="center"/>
      </w:pPr>
      <w:r>
        <w:rPr>
          <w:b/>
          <w:color w:val="111111"/>
          <w:sz w:val="18"/>
        </w:rPr>
        <w:t>Table 6. Staged Implementation Roadmap</w:t>
      </w:r>
    </w:p>
    <w:tbl>
      <w:tblPr>
        <w:tblW w:w="0" w:type="auto"/>
        <w:jc w:val="center"/>
        <w:tblBorders>
          <w:top w:val="single" w:sz="4" w:space="0" w:color="AFC3E0"/>
          <w:left w:val="single" w:sz="4" w:space="0" w:color="AFC3E0"/>
          <w:bottom w:val="single" w:sz="4" w:space="0" w:color="AFC3E0"/>
          <w:right w:val="single" w:sz="4" w:space="0" w:color="AFC3E0"/>
          <w:insideH w:val="single" w:sz="4" w:space="0" w:color="AFC3E0"/>
          <w:insideV w:val="single" w:sz="4" w:space="0" w:color="AFC3E0"/>
        </w:tblBorders>
        <w:tblLayout w:type="fixed"/>
        <w:tblLook w:val="04A0" w:firstRow="1" w:lastRow="0" w:firstColumn="1" w:lastColumn="0" w:noHBand="0" w:noVBand="1"/>
      </w:tblPr>
      <w:tblGrid>
        <w:gridCol w:w="3213"/>
        <w:gridCol w:w="3213"/>
        <w:gridCol w:w="3213"/>
      </w:tblGrid>
      <w:tr w:rsidR="000B638A" w14:paraId="518B09E0" w14:textId="77777777">
        <w:trPr>
          <w:jc w:val="center"/>
        </w:trPr>
        <w:tc>
          <w:tcPr>
            <w:tcW w:w="3213" w:type="dxa"/>
            <w:shd w:val="clear" w:color="auto" w:fill="2F66B3"/>
          </w:tcPr>
          <w:p w14:paraId="082B1390" w14:textId="77777777" w:rsidR="000B638A" w:rsidRDefault="008F23F5">
            <w:pPr>
              <w:jc w:val="center"/>
            </w:pPr>
            <w:r>
              <w:rPr>
                <w:b/>
                <w:color w:val="FFFFFF"/>
                <w:sz w:val="15"/>
              </w:rPr>
              <w:t>Stage</w:t>
            </w:r>
          </w:p>
        </w:tc>
        <w:tc>
          <w:tcPr>
            <w:tcW w:w="3213" w:type="dxa"/>
            <w:shd w:val="clear" w:color="auto" w:fill="2F66B3"/>
          </w:tcPr>
          <w:p w14:paraId="779A2FFC" w14:textId="77777777" w:rsidR="000B638A" w:rsidRDefault="008F23F5">
            <w:pPr>
              <w:jc w:val="center"/>
            </w:pPr>
            <w:r>
              <w:rPr>
                <w:b/>
                <w:color w:val="FFFFFF"/>
                <w:sz w:val="15"/>
              </w:rPr>
              <w:t>Purpose</w:t>
            </w:r>
          </w:p>
        </w:tc>
        <w:tc>
          <w:tcPr>
            <w:tcW w:w="3213" w:type="dxa"/>
            <w:shd w:val="clear" w:color="auto" w:fill="2F66B3"/>
          </w:tcPr>
          <w:p w14:paraId="712FCAFC" w14:textId="77777777" w:rsidR="000B638A" w:rsidRDefault="008F23F5">
            <w:pPr>
              <w:jc w:val="center"/>
            </w:pPr>
            <w:r>
              <w:rPr>
                <w:b/>
                <w:color w:val="FFFFFF"/>
                <w:sz w:val="15"/>
              </w:rPr>
              <w:t>Exit criterion</w:t>
            </w:r>
          </w:p>
        </w:tc>
      </w:tr>
      <w:tr w:rsidR="000B638A" w14:paraId="28B1BB63" w14:textId="77777777">
        <w:trPr>
          <w:jc w:val="center"/>
        </w:trPr>
        <w:tc>
          <w:tcPr>
            <w:tcW w:w="3213" w:type="dxa"/>
            <w:vAlign w:val="center"/>
          </w:tcPr>
          <w:p w14:paraId="5E06B89B" w14:textId="77777777" w:rsidR="000B638A" w:rsidRDefault="008F23F5">
            <w:pPr>
              <w:spacing w:after="0"/>
            </w:pPr>
            <w:r>
              <w:rPr>
                <w:color w:val="111111"/>
                <w:sz w:val="15"/>
              </w:rPr>
              <w:t>Offline verification</w:t>
            </w:r>
          </w:p>
        </w:tc>
        <w:tc>
          <w:tcPr>
            <w:tcW w:w="3213" w:type="dxa"/>
            <w:vAlign w:val="center"/>
          </w:tcPr>
          <w:p w14:paraId="42E4F12B" w14:textId="77777777" w:rsidR="000B638A" w:rsidRDefault="008F23F5">
            <w:pPr>
              <w:spacing w:after="0"/>
            </w:pPr>
            <w:r>
              <w:rPr>
                <w:color w:val="111111"/>
                <w:sz w:val="15"/>
              </w:rPr>
              <w:t>Check component correctness and reproducibility</w:t>
            </w:r>
          </w:p>
        </w:tc>
        <w:tc>
          <w:tcPr>
            <w:tcW w:w="3213" w:type="dxa"/>
            <w:vAlign w:val="center"/>
          </w:tcPr>
          <w:p w14:paraId="6404D6CF" w14:textId="77777777" w:rsidR="000B638A" w:rsidRDefault="008F23F5">
            <w:pPr>
              <w:spacing w:after="0"/>
            </w:pPr>
            <w:r>
              <w:rPr>
                <w:color w:val="111111"/>
                <w:sz w:val="15"/>
              </w:rPr>
              <w:t xml:space="preserve">Documented </w:t>
            </w:r>
            <w:r>
              <w:rPr>
                <w:color w:val="111111"/>
                <w:sz w:val="15"/>
              </w:rPr>
              <w:t>pass/fail evidence</w:t>
            </w:r>
          </w:p>
        </w:tc>
      </w:tr>
      <w:tr w:rsidR="000B638A" w14:paraId="6239424E" w14:textId="77777777">
        <w:trPr>
          <w:jc w:val="center"/>
        </w:trPr>
        <w:tc>
          <w:tcPr>
            <w:tcW w:w="3213" w:type="dxa"/>
            <w:vAlign w:val="center"/>
          </w:tcPr>
          <w:p w14:paraId="456E85ED" w14:textId="77777777" w:rsidR="000B638A" w:rsidRDefault="008F23F5">
            <w:pPr>
              <w:spacing w:after="0"/>
            </w:pPr>
            <w:r>
              <w:rPr>
                <w:color w:val="111111"/>
                <w:sz w:val="15"/>
              </w:rPr>
              <w:t>Limited pilot</w:t>
            </w:r>
          </w:p>
        </w:tc>
        <w:tc>
          <w:tcPr>
            <w:tcW w:w="3213" w:type="dxa"/>
            <w:vAlign w:val="center"/>
          </w:tcPr>
          <w:p w14:paraId="3C14C172" w14:textId="77777777" w:rsidR="000B638A" w:rsidRDefault="008F23F5">
            <w:pPr>
              <w:spacing w:after="0"/>
            </w:pPr>
            <w:r>
              <w:rPr>
                <w:color w:val="111111"/>
                <w:sz w:val="15"/>
              </w:rPr>
              <w:t>Assess usability, workflow, and safety</w:t>
            </w:r>
          </w:p>
        </w:tc>
        <w:tc>
          <w:tcPr>
            <w:tcW w:w="3213" w:type="dxa"/>
            <w:vAlign w:val="center"/>
          </w:tcPr>
          <w:p w14:paraId="034DFEEB" w14:textId="77777777" w:rsidR="000B638A" w:rsidRDefault="008F23F5">
            <w:pPr>
              <w:spacing w:after="0"/>
            </w:pPr>
            <w:r>
              <w:rPr>
                <w:color w:val="111111"/>
                <w:sz w:val="15"/>
              </w:rPr>
              <w:t>Resolved critical issues</w:t>
            </w:r>
          </w:p>
        </w:tc>
      </w:tr>
      <w:tr w:rsidR="000B638A" w14:paraId="7A218044" w14:textId="77777777">
        <w:trPr>
          <w:jc w:val="center"/>
        </w:trPr>
        <w:tc>
          <w:tcPr>
            <w:tcW w:w="3213" w:type="dxa"/>
            <w:vAlign w:val="center"/>
          </w:tcPr>
          <w:p w14:paraId="49B1885F" w14:textId="77777777" w:rsidR="000B638A" w:rsidRDefault="008F23F5">
            <w:pPr>
              <w:spacing w:after="0"/>
            </w:pPr>
            <w:r>
              <w:rPr>
                <w:color w:val="111111"/>
                <w:sz w:val="15"/>
              </w:rPr>
              <w:t>Supervised operation</w:t>
            </w:r>
          </w:p>
        </w:tc>
        <w:tc>
          <w:tcPr>
            <w:tcW w:w="3213" w:type="dxa"/>
            <w:vAlign w:val="center"/>
          </w:tcPr>
          <w:p w14:paraId="3AC993C8" w14:textId="77777777" w:rsidR="000B638A" w:rsidRDefault="008F23F5">
            <w:pPr>
              <w:spacing w:after="0"/>
            </w:pPr>
            <w:r>
              <w:rPr>
                <w:color w:val="111111"/>
                <w:sz w:val="15"/>
              </w:rPr>
              <w:t>Monitor real-world errors and overrides</w:t>
            </w:r>
          </w:p>
        </w:tc>
        <w:tc>
          <w:tcPr>
            <w:tcW w:w="3213" w:type="dxa"/>
            <w:vAlign w:val="center"/>
          </w:tcPr>
          <w:p w14:paraId="62372F61" w14:textId="77777777" w:rsidR="000B638A" w:rsidRDefault="008F23F5">
            <w:pPr>
              <w:spacing w:after="0"/>
            </w:pPr>
            <w:r>
              <w:rPr>
                <w:color w:val="111111"/>
                <w:sz w:val="15"/>
              </w:rPr>
              <w:t>Stable performance within boundary</w:t>
            </w:r>
          </w:p>
        </w:tc>
      </w:tr>
      <w:tr w:rsidR="000B638A" w14:paraId="5AA9DEDC" w14:textId="77777777">
        <w:trPr>
          <w:jc w:val="center"/>
        </w:trPr>
        <w:tc>
          <w:tcPr>
            <w:tcW w:w="3213" w:type="dxa"/>
            <w:vAlign w:val="center"/>
          </w:tcPr>
          <w:p w14:paraId="72429D59" w14:textId="77777777" w:rsidR="000B638A" w:rsidRDefault="008F23F5">
            <w:pPr>
              <w:spacing w:after="0"/>
            </w:pPr>
            <w:r>
              <w:rPr>
                <w:color w:val="111111"/>
                <w:sz w:val="15"/>
              </w:rPr>
              <w:t>Scaled use</w:t>
            </w:r>
          </w:p>
        </w:tc>
        <w:tc>
          <w:tcPr>
            <w:tcW w:w="3213" w:type="dxa"/>
            <w:vAlign w:val="center"/>
          </w:tcPr>
          <w:p w14:paraId="009B47DC" w14:textId="77777777" w:rsidR="000B638A" w:rsidRDefault="008F23F5">
            <w:pPr>
              <w:spacing w:after="0"/>
            </w:pPr>
            <w:r>
              <w:rPr>
                <w:color w:val="111111"/>
                <w:sz w:val="15"/>
              </w:rPr>
              <w:t>Expand only with maintenance capacity</w:t>
            </w:r>
          </w:p>
        </w:tc>
        <w:tc>
          <w:tcPr>
            <w:tcW w:w="3213" w:type="dxa"/>
            <w:vAlign w:val="center"/>
          </w:tcPr>
          <w:p w14:paraId="60208562" w14:textId="77777777" w:rsidR="000B638A" w:rsidRDefault="008F23F5">
            <w:pPr>
              <w:spacing w:after="0"/>
            </w:pPr>
            <w:r>
              <w:rPr>
                <w:color w:val="111111"/>
                <w:sz w:val="15"/>
              </w:rPr>
              <w:t>Approved monitoring and incident plan</w:t>
            </w:r>
          </w:p>
        </w:tc>
      </w:tr>
    </w:tbl>
    <w:p w14:paraId="41D7968E" w14:textId="77777777" w:rsidR="000B638A" w:rsidRDefault="008F23F5">
      <w:pPr>
        <w:pStyle w:val="JASTEH1"/>
      </w:pPr>
      <w:r>
        <w:t>8. DISCUSSION</w:t>
      </w:r>
    </w:p>
    <w:p w14:paraId="06B7B05D" w14:textId="77777777" w:rsidR="000B638A" w:rsidRDefault="008F23F5">
      <w:pPr>
        <w:spacing w:after="80"/>
        <w:jc w:val="both"/>
      </w:pPr>
      <w:r>
        <w:rPr>
          <w:color w:val="111111"/>
        </w:rPr>
        <w:t xml:space="preserve">The synthesis supports a systems-engineering view of financial-information integrity on social-media platforms. The contribution does not rest on one algorithm or device; it arises from linking evidence </w:t>
      </w:r>
      <w:r>
        <w:rPr>
          <w:color w:val="111111"/>
        </w:rPr>
        <w:t xml:space="preserve">quality, processing, decision design, human interaction, and governance, consistent with theory-driven approaches to financial disinformation detection that combine domain knowledge with learned representations (Zhang et al., 2022). This position avoids a </w:t>
      </w:r>
      <w:r>
        <w:rPr>
          <w:color w:val="111111"/>
        </w:rPr>
        <w:t>common error in applied-technology studies: treating a successful technical demonstration as proof of safe and useful operation.</w:t>
      </w:r>
    </w:p>
    <w:p w14:paraId="4FF58D0B" w14:textId="77777777" w:rsidR="000B638A" w:rsidRDefault="008F23F5">
      <w:pPr>
        <w:spacing w:after="80"/>
        <w:jc w:val="both"/>
      </w:pPr>
      <w:r>
        <w:rPr>
          <w:color w:val="111111"/>
        </w:rPr>
        <w:lastRenderedPageBreak/>
        <w:t>Trade-offs are unavoidable. Increasing sensitivity can raise false alarms, stricter security can reduce accessibility, richer l</w:t>
      </w:r>
      <w:r>
        <w:rPr>
          <w:color w:val="111111"/>
        </w:rPr>
        <w:t>ogging can increase privacy exposure, and additional explanations can increase cognitive load. These trade-offs should be stated as design decisions with measurable consequences. The preferred configuration depends on the context and cannot be selected fro</w:t>
      </w:r>
      <w:r>
        <w:rPr>
          <w:color w:val="111111"/>
        </w:rPr>
        <w:t>m a single universal accuracy target.</w:t>
      </w:r>
    </w:p>
    <w:p w14:paraId="1A30ADC0" w14:textId="77777777" w:rsidR="000B638A" w:rsidRDefault="008F23F5">
      <w:pPr>
        <w:pStyle w:val="JASTEH1"/>
      </w:pPr>
      <w:r>
        <w:t>9. CONCLUSION</w:t>
      </w:r>
    </w:p>
    <w:p w14:paraId="58864E8E" w14:textId="77777777" w:rsidR="000B638A" w:rsidRDefault="008F23F5">
      <w:pPr>
        <w:spacing w:after="80"/>
        <w:jc w:val="both"/>
      </w:pPr>
      <w:r>
        <w:rPr>
          <w:color w:val="111111"/>
        </w:rPr>
        <w:t>Machine-learning sentiment classification can support financial misinformation screening when embedded in a broader, calibrated, and explainable pipeline. The proposed architecture combines domain-sensiti</w:t>
      </w:r>
      <w:r>
        <w:rPr>
          <w:color w:val="111111"/>
        </w:rPr>
        <w:t>ve language representations, contextual features, robust validation, and human oversight. Future work should build multilingual benchmark datasets, test temporal generalization, and evaluate whether explanations improve reviewer accuracy rather than merely</w:t>
      </w:r>
      <w:r>
        <w:rPr>
          <w:color w:val="111111"/>
        </w:rPr>
        <w:t xml:space="preserve"> increasing confidence.</w:t>
      </w:r>
    </w:p>
    <w:p w14:paraId="33807315" w14:textId="77777777" w:rsidR="000B638A" w:rsidRDefault="008F23F5">
      <w:pPr>
        <w:spacing w:after="80"/>
        <w:jc w:val="both"/>
      </w:pPr>
      <w:r>
        <w:rPr>
          <w:color w:val="111111"/>
        </w:rPr>
        <w:t>In summary, responsible progress in financial-information integrity on social-media platforms requires a traceable relationship between evidence, processing, decisions, users, and governance. The proposed framework supplies that rel</w:t>
      </w:r>
      <w:r>
        <w:rPr>
          <w:color w:val="111111"/>
        </w:rPr>
        <w:t>ationship and defines a practical agenda for prototype validation without presenting untested performance as an established result.</w:t>
      </w:r>
    </w:p>
    <w:p w14:paraId="61CBA9C5" w14:textId="77777777" w:rsidR="000B638A" w:rsidRDefault="008F23F5">
      <w:pPr>
        <w:spacing w:after="80"/>
        <w:jc w:val="both"/>
      </w:pPr>
      <w:r>
        <w:rPr>
          <w:color w:val="111111"/>
        </w:rPr>
        <w:t>The practical contribution of this framework is a common language for researchers, developers, and decision makers working o</w:t>
      </w:r>
      <w:r>
        <w:rPr>
          <w:color w:val="111111"/>
        </w:rPr>
        <w:t>n financial-information integrity on social-media platforms. It connects a technical feature to its evidentiary purpose, validation requirement, risk, and accountable user. This connection helps prevent isolated optimisation, in which one metric improves w</w:t>
      </w:r>
      <w:r>
        <w:rPr>
          <w:color w:val="111111"/>
        </w:rPr>
        <w:t>hile the surrounding workflow becomes harder to interpret, maintain, or govern.</w:t>
      </w:r>
    </w:p>
    <w:p w14:paraId="5D3CCCCC" w14:textId="77777777" w:rsidR="000B638A" w:rsidRDefault="008F23F5">
      <w:pPr>
        <w:spacing w:after="80"/>
        <w:jc w:val="both"/>
      </w:pPr>
      <w:r>
        <w:rPr>
          <w:color w:val="111111"/>
        </w:rPr>
        <w:t>For publication, future empirical versions should replace proposed procedures with exact observed methods and results. Dataset characteristics, inclusion decisions, preprocessi</w:t>
      </w:r>
      <w:r>
        <w:rPr>
          <w:color w:val="111111"/>
        </w:rPr>
        <w:t>ng, software versions, statistical analysis, and deviations from the protocol should be reported transparently. Tables and figures should present reproducible evidence rather than illustrative numbers. This distinction is essential because a conceptual eng</w:t>
      </w:r>
      <w:r>
        <w:rPr>
          <w:color w:val="111111"/>
        </w:rPr>
        <w:t>ineering article can guide design, but only empirical evaluation can support claims about measured effectiveness.</w:t>
      </w:r>
    </w:p>
    <w:p w14:paraId="00898CF9" w14:textId="77777777" w:rsidR="000B638A" w:rsidRDefault="008F23F5">
      <w:pPr>
        <w:spacing w:after="80"/>
        <w:jc w:val="both"/>
      </w:pPr>
      <w:r>
        <w:rPr>
          <w:color w:val="111111"/>
        </w:rPr>
        <w:t>For implementation, the recommended priority is not immediate automation but reliable assistance. The system should make evidence easier to or</w:t>
      </w:r>
      <w:r>
        <w:rPr>
          <w:color w:val="111111"/>
        </w:rPr>
        <w:t>ganise, inspect, and communicate while preserving human authority for consequential interpretation. Automation can be expanded only after monitoring demonstrates stable behaviour, reviewers understand limitations, and governance mechanisms respond effectiv</w:t>
      </w:r>
      <w:r>
        <w:rPr>
          <w:color w:val="111111"/>
        </w:rPr>
        <w:t>ely to errors and complaints.</w:t>
      </w:r>
    </w:p>
    <w:p w14:paraId="37F1DE49" w14:textId="77777777" w:rsidR="000B638A" w:rsidRDefault="008F23F5">
      <w:pPr>
        <w:spacing w:after="80"/>
        <w:jc w:val="both"/>
      </w:pPr>
      <w:r>
        <w:rPr>
          <w:color w:val="111111"/>
        </w:rPr>
        <w:t>The framework also supports cumulative research. Because inputs, components, interfaces, metrics, and operating boundaries are specified separately, later studies can test individual assumptions and compare alternatives withou</w:t>
      </w:r>
      <w:r>
        <w:rPr>
          <w:color w:val="111111"/>
        </w:rPr>
        <w:t>t rebuilding the entire conceptual model. Replication can then identify which findings are stable, which depend on context, and which controls are necessary for transfer to a new population or institution.</w:t>
      </w:r>
    </w:p>
    <w:p w14:paraId="54E96857" w14:textId="77777777" w:rsidR="000B638A" w:rsidRDefault="008F23F5">
      <w:pPr>
        <w:spacing w:after="80"/>
        <w:jc w:val="both"/>
      </w:pPr>
      <w:r>
        <w:rPr>
          <w:color w:val="111111"/>
        </w:rPr>
        <w:t xml:space="preserve">Accordingly, readiness should be treated as an </w:t>
      </w:r>
      <w:r>
        <w:rPr>
          <w:color w:val="111111"/>
        </w:rPr>
        <w:t>evidence threshold rather than as a project deadline. A system is ready only when the required technical tests, human-centred evaluation, risk controls, documentation, training, and maintenance ownership have been demonstrated together. Where evidence rema</w:t>
      </w:r>
      <w:r>
        <w:rPr>
          <w:color w:val="111111"/>
        </w:rPr>
        <w:t>ins incomplete, the appropriate conclusion is a narrower operating boundary or further study—not an unsupported claim of general applicability.</w:t>
      </w:r>
    </w:p>
    <w:p w14:paraId="1954C466" w14:textId="77777777" w:rsidR="000B638A" w:rsidRDefault="008F23F5">
      <w:pPr>
        <w:pStyle w:val="JASTEH1"/>
      </w:pPr>
      <w:r>
        <w:t>AUTHOR CONTRIBUTIONS</w:t>
      </w:r>
    </w:p>
    <w:p w14:paraId="63FF3B05" w14:textId="77777777" w:rsidR="000B638A" w:rsidRDefault="008F23F5">
      <w:pPr>
        <w:spacing w:after="40"/>
        <w:jc w:val="both"/>
      </w:pPr>
      <w:r>
        <w:rPr>
          <w:color w:val="111111"/>
        </w:rPr>
        <w:t>The listed author(s) contributed to conceptualisation, literature synthesis, framework deve</w:t>
      </w:r>
      <w:r>
        <w:rPr>
          <w:color w:val="111111"/>
        </w:rPr>
        <w:t>lopment, writing, review, and approval of the manuscript. Every author must verify this statement before publication.</w:t>
      </w:r>
    </w:p>
    <w:p w14:paraId="518810F9" w14:textId="77777777" w:rsidR="000B638A" w:rsidRDefault="008F23F5">
      <w:pPr>
        <w:pStyle w:val="JASTEH1"/>
      </w:pPr>
      <w:r>
        <w:t>FUNDING</w:t>
      </w:r>
    </w:p>
    <w:p w14:paraId="6BFFF858" w14:textId="77777777" w:rsidR="000B638A" w:rsidRDefault="008F23F5">
      <w:pPr>
        <w:spacing w:after="40"/>
        <w:jc w:val="both"/>
      </w:pPr>
      <w:r>
        <w:rPr>
          <w:color w:val="111111"/>
        </w:rPr>
        <w:t>This article received no external funding. The authors must replace this statement if funding applies.</w:t>
      </w:r>
    </w:p>
    <w:p w14:paraId="55E74AA5" w14:textId="77777777" w:rsidR="000B638A" w:rsidRDefault="008F23F5">
      <w:pPr>
        <w:pStyle w:val="JASTEH1"/>
      </w:pPr>
      <w:r>
        <w:t>CONFLICTS OF INTEREST</w:t>
      </w:r>
    </w:p>
    <w:p w14:paraId="25276D64" w14:textId="77777777" w:rsidR="000B638A" w:rsidRDefault="008F23F5">
      <w:pPr>
        <w:spacing w:after="40"/>
        <w:jc w:val="both"/>
      </w:pPr>
      <w:r>
        <w:rPr>
          <w:color w:val="111111"/>
        </w:rPr>
        <w:t>The a</w:t>
      </w:r>
      <w:r>
        <w:rPr>
          <w:color w:val="111111"/>
        </w:rPr>
        <w:t>uthor(s) declare no conflict of interest. Every author must verify this statement before publication.</w:t>
      </w:r>
    </w:p>
    <w:p w14:paraId="749C59CF" w14:textId="77777777" w:rsidR="000B638A" w:rsidRDefault="008F23F5">
      <w:pPr>
        <w:pStyle w:val="JASTEH1"/>
      </w:pPr>
      <w:r>
        <w:t>DATA AVAILABILITY STATEMENT</w:t>
      </w:r>
    </w:p>
    <w:p w14:paraId="2D2E5B27" w14:textId="77777777" w:rsidR="000B638A" w:rsidRDefault="008F23F5">
      <w:pPr>
        <w:spacing w:after="40"/>
        <w:jc w:val="both"/>
      </w:pPr>
      <w:r>
        <w:rPr>
          <w:color w:val="111111"/>
        </w:rPr>
        <w:t>No original dataset was generated because this article presents a conceptual technical review and design framework.</w:t>
      </w:r>
    </w:p>
    <w:p w14:paraId="666BB1DF" w14:textId="77777777" w:rsidR="000B638A" w:rsidRDefault="008F23F5">
      <w:pPr>
        <w:pStyle w:val="JASTEH1"/>
      </w:pPr>
      <w:r>
        <w:t>REFERENCES</w:t>
      </w:r>
    </w:p>
    <w:p w14:paraId="4C939586" w14:textId="77777777" w:rsidR="000B638A" w:rsidRDefault="008F23F5">
      <w:pPr>
        <w:spacing w:after="40" w:line="240" w:lineRule="auto"/>
        <w:ind w:left="340" w:hanging="340"/>
      </w:pPr>
      <w:r>
        <w:rPr>
          <w:color w:val="111111"/>
          <w:sz w:val="16"/>
        </w:rPr>
        <w:t>Amershi, S., Weld, D., Vorvoreanu, M., Fourney, A., Nushi, B., Collisson, P., Suh, J., Iqbal, S., Bennett, P. N., Inkpen, K., Teevan, J., Kikin-Gil, R., &amp; Horvitz, E. (2019). Guidelines for human-AI interaction. In Proceedings of the 2019 CHI Conference o</w:t>
      </w:r>
      <w:r>
        <w:rPr>
          <w:color w:val="111111"/>
          <w:sz w:val="16"/>
        </w:rPr>
        <w:t>n Human Factors in Computing Systems (pp. 1-13). ACM. https://doi.org/10.1145/3290605.3300233</w:t>
      </w:r>
    </w:p>
    <w:p w14:paraId="54DC0387" w14:textId="77777777" w:rsidR="000B638A" w:rsidRDefault="008F23F5">
      <w:pPr>
        <w:spacing w:after="40" w:line="240" w:lineRule="auto"/>
        <w:ind w:left="340" w:hanging="340"/>
      </w:pPr>
      <w:r>
        <w:rPr>
          <w:color w:val="111111"/>
          <w:sz w:val="16"/>
        </w:rPr>
        <w:t>Araci, D. (2019). FinBERT: Financial sentiment analysis with pre-trained language models. arXiv. https://doi.org/10.48550/arXiv.1908.10063</w:t>
      </w:r>
    </w:p>
    <w:p w14:paraId="178047AF" w14:textId="77777777" w:rsidR="000B638A" w:rsidRDefault="008F23F5">
      <w:pPr>
        <w:spacing w:after="40" w:line="240" w:lineRule="auto"/>
        <w:ind w:left="340" w:hanging="340"/>
      </w:pPr>
      <w:r>
        <w:rPr>
          <w:color w:val="111111"/>
          <w:sz w:val="16"/>
        </w:rPr>
        <w:t xml:space="preserve">Castillo, C., Mendoza, </w:t>
      </w:r>
      <w:r>
        <w:rPr>
          <w:color w:val="111111"/>
          <w:sz w:val="16"/>
        </w:rPr>
        <w:t>M., &amp; Poblete, B. (2011). Information credibility on Twitter. In Proceedings of the 20th International Conference on World Wide Web (pp. 675-684). ACM.</w:t>
      </w:r>
    </w:p>
    <w:p w14:paraId="2F4ABECB" w14:textId="77777777" w:rsidR="000B638A" w:rsidRDefault="008F23F5">
      <w:pPr>
        <w:spacing w:after="40" w:line="240" w:lineRule="auto"/>
        <w:ind w:left="340" w:hanging="340"/>
      </w:pPr>
      <w:r>
        <w:rPr>
          <w:color w:val="111111"/>
          <w:sz w:val="16"/>
        </w:rPr>
        <w:t>Devlin, J., Chang, M.-W., Lee, K., &amp; Toutanova, K. (2019). BERT: Pre-training of deep bidirectional tran</w:t>
      </w:r>
      <w:r>
        <w:rPr>
          <w:color w:val="111111"/>
          <w:sz w:val="16"/>
        </w:rPr>
        <w:t>sformers for language understanding. In Proceedings of the 2019 Conference of the North American Chapter of the Association for Computational Linguistics: Human Language Technologies (Vol. 1, pp. 4171-4186). Association for Computational Linguistics. https</w:t>
      </w:r>
      <w:r>
        <w:rPr>
          <w:color w:val="111111"/>
          <w:sz w:val="16"/>
        </w:rPr>
        <w:t>://doi.org/10.18653/v1/N19-1423</w:t>
      </w:r>
    </w:p>
    <w:p w14:paraId="618650C1" w14:textId="77777777" w:rsidR="000B638A" w:rsidRDefault="008F23F5">
      <w:pPr>
        <w:spacing w:after="40" w:line="240" w:lineRule="auto"/>
        <w:ind w:left="340" w:hanging="340"/>
      </w:pPr>
      <w:r>
        <w:rPr>
          <w:color w:val="111111"/>
          <w:sz w:val="16"/>
        </w:rPr>
        <w:lastRenderedPageBreak/>
        <w:t>Gama, J., Žliobaitė, I., Bifet, A., Pechenizkiy, M., &amp; Bouchachia, A. (2014). A survey on concept drift adaptation. ACM Computing Surveys, 46(4), Article 44. https://doi.org/10.1145/2523813</w:t>
      </w:r>
    </w:p>
    <w:p w14:paraId="78D4E23D" w14:textId="77777777" w:rsidR="000B638A" w:rsidRDefault="008F23F5">
      <w:pPr>
        <w:spacing w:after="40" w:line="240" w:lineRule="auto"/>
        <w:ind w:left="340" w:hanging="340"/>
      </w:pPr>
      <w:r>
        <w:rPr>
          <w:color w:val="111111"/>
          <w:sz w:val="16"/>
        </w:rPr>
        <w:t xml:space="preserve">Guo, C., Pleiss, G., Sun, Y., &amp; </w:t>
      </w:r>
      <w:r>
        <w:rPr>
          <w:color w:val="111111"/>
          <w:sz w:val="16"/>
        </w:rPr>
        <w:t>Weinberger, K. Q. (2017). On calibration of modern neural networks. In Proceedings of the 34th International Conference on Machine Learning (Vol. 70, pp. 1321-1330). PMLR.</w:t>
      </w:r>
    </w:p>
    <w:p w14:paraId="19F82E1B" w14:textId="77777777" w:rsidR="000B638A" w:rsidRDefault="008F23F5">
      <w:pPr>
        <w:spacing w:after="40" w:line="240" w:lineRule="auto"/>
        <w:ind w:left="340" w:hanging="340"/>
      </w:pPr>
      <w:r>
        <w:rPr>
          <w:color w:val="111111"/>
          <w:sz w:val="16"/>
        </w:rPr>
        <w:t>Huang, A. H., Wang, H., &amp; Yang, Y. (2023). FinBERT: A large language model for extra</w:t>
      </w:r>
      <w:r>
        <w:rPr>
          <w:color w:val="111111"/>
          <w:sz w:val="16"/>
        </w:rPr>
        <w:t>cting information from financial text. Contemporary Accounting Research, 40(2), 806-841. https://doi.org/10.1111/1911-3846.12832</w:t>
      </w:r>
    </w:p>
    <w:p w14:paraId="610D83AB" w14:textId="77777777" w:rsidR="000B638A" w:rsidRDefault="008F23F5">
      <w:pPr>
        <w:spacing w:after="40" w:line="240" w:lineRule="auto"/>
        <w:ind w:left="340" w:hanging="340"/>
      </w:pPr>
      <w:r>
        <w:rPr>
          <w:color w:val="111111"/>
          <w:sz w:val="16"/>
        </w:rPr>
        <w:t>Kwon, S., Cha, M., Jung, K., Chen, W., &amp; Wang, Y. (2013). Prominent features of rumor propagation in online social media. In 20</w:t>
      </w:r>
      <w:r>
        <w:rPr>
          <w:color w:val="111111"/>
          <w:sz w:val="16"/>
        </w:rPr>
        <w:t>13 IEEE 13th International Conference on Data Mining (pp. 1103-1108). IEEE.</w:t>
      </w:r>
    </w:p>
    <w:p w14:paraId="5E812A5C" w14:textId="77777777" w:rsidR="000B638A" w:rsidRDefault="008F23F5">
      <w:pPr>
        <w:spacing w:after="40" w:line="240" w:lineRule="auto"/>
        <w:ind w:left="340" w:hanging="340"/>
      </w:pPr>
      <w:r>
        <w:rPr>
          <w:color w:val="111111"/>
          <w:sz w:val="16"/>
        </w:rPr>
        <w:t>Loughran, T., &amp; McDonald, B. (2011). When is a liability not a liability? Textual analysis, dictionaries, and 10-Ks. Journal of Finance, 66(1), 35-65. https://doi.org/10.1111/j.154</w:t>
      </w:r>
      <w:r>
        <w:rPr>
          <w:color w:val="111111"/>
          <w:sz w:val="16"/>
        </w:rPr>
        <w:t>0-6261.2010.01625.x</w:t>
      </w:r>
    </w:p>
    <w:p w14:paraId="1C42F333" w14:textId="77777777" w:rsidR="000B638A" w:rsidRDefault="008F23F5">
      <w:pPr>
        <w:spacing w:after="40" w:line="240" w:lineRule="auto"/>
        <w:ind w:left="340" w:hanging="340"/>
      </w:pPr>
      <w:r>
        <w:rPr>
          <w:color w:val="111111"/>
          <w:sz w:val="16"/>
        </w:rPr>
        <w:t>Lundberg, S. M., &amp; Lee, S.-I. (2017). A unified approach to interpreting model predictions. In Advances in Neural Information Processing Systems 30 (pp. 4765-4774). Curran Associates.</w:t>
      </w:r>
    </w:p>
    <w:p w14:paraId="4F78B4F5" w14:textId="77777777" w:rsidR="000B638A" w:rsidRDefault="008F23F5">
      <w:pPr>
        <w:spacing w:after="40" w:line="240" w:lineRule="auto"/>
        <w:ind w:left="340" w:hanging="340"/>
      </w:pPr>
      <w:r>
        <w:rPr>
          <w:color w:val="111111"/>
          <w:sz w:val="16"/>
        </w:rPr>
        <w:t>Nam, D., &amp; Skillicorn, D. B. (2023). Detecting pump&amp;</w:t>
      </w:r>
      <w:r>
        <w:rPr>
          <w:color w:val="111111"/>
          <w:sz w:val="16"/>
        </w:rPr>
        <w:t>dump stock market manipulation from online forums. arXiv. https://doi.org/10.48550/arXiv.2301.11403</w:t>
      </w:r>
    </w:p>
    <w:p w14:paraId="64C2F524" w14:textId="77777777" w:rsidR="000B638A" w:rsidRDefault="008F23F5">
      <w:pPr>
        <w:spacing w:after="40" w:line="240" w:lineRule="auto"/>
        <w:ind w:left="340" w:hanging="340"/>
      </w:pPr>
      <w:r>
        <w:rPr>
          <w:color w:val="111111"/>
          <w:sz w:val="16"/>
        </w:rPr>
        <w:t>Parasuraman, R., &amp; Manzey, D. H. (2010). Complacency and bias in human use of automation: An attentional integration. Human Factors, 52(3), 381-410. https:/</w:t>
      </w:r>
      <w:r>
        <w:rPr>
          <w:color w:val="111111"/>
          <w:sz w:val="16"/>
        </w:rPr>
        <w:t>/doi.org/10.1177/0018720810376055</w:t>
      </w:r>
    </w:p>
    <w:p w14:paraId="264353A0" w14:textId="77777777" w:rsidR="000B638A" w:rsidRDefault="008F23F5">
      <w:pPr>
        <w:spacing w:after="40" w:line="240" w:lineRule="auto"/>
        <w:ind w:left="340" w:hanging="340"/>
      </w:pPr>
      <w:r>
        <w:rPr>
          <w:color w:val="111111"/>
          <w:sz w:val="16"/>
        </w:rPr>
        <w:t>Pennycook, G., &amp; Rand, D. G. (2021). The psychology of fake news. Trends in Cognitive Sciences, 25(5), 388-402. https://doi.org/10.1016/j.tics.2021.02.007</w:t>
      </w:r>
    </w:p>
    <w:p w14:paraId="7FEBEA07" w14:textId="77777777" w:rsidR="000B638A" w:rsidRDefault="008F23F5">
      <w:pPr>
        <w:spacing w:after="40" w:line="240" w:lineRule="auto"/>
        <w:ind w:left="340" w:hanging="340"/>
      </w:pPr>
      <w:r>
        <w:rPr>
          <w:color w:val="111111"/>
          <w:sz w:val="16"/>
        </w:rPr>
        <w:t>Ribeiro, M. T., Singh, S., &amp; Guestrin, C. (2016). "Why should I tru</w:t>
      </w:r>
      <w:r>
        <w:rPr>
          <w:color w:val="111111"/>
          <w:sz w:val="16"/>
        </w:rPr>
        <w:t>st you?" Explaining the predictions of any classifier. In Proceedings of the 22nd ACM SIGKDD International Conference on Knowledge Discovery and Data Mining (pp. 1135-1144). ACM.</w:t>
      </w:r>
    </w:p>
    <w:p w14:paraId="187E04A2" w14:textId="77777777" w:rsidR="000B638A" w:rsidRDefault="008F23F5">
      <w:pPr>
        <w:spacing w:after="40" w:line="240" w:lineRule="auto"/>
        <w:ind w:left="340" w:hanging="340"/>
      </w:pPr>
      <w:r>
        <w:rPr>
          <w:color w:val="111111"/>
          <w:sz w:val="16"/>
        </w:rPr>
        <w:t>Saito, T., &amp; Rehmsmeier, M. (2015). The precision-recall plot is more informa</w:t>
      </w:r>
      <w:r>
        <w:rPr>
          <w:color w:val="111111"/>
          <w:sz w:val="16"/>
        </w:rPr>
        <w:t>tive than the ROC plot when evaluating binary classifiers on imbalanced datasets. PLOS ONE, 10(3), e0118432. https://doi.org/10.1371/journal.pone.0118432</w:t>
      </w:r>
    </w:p>
    <w:p w14:paraId="35847885" w14:textId="77777777" w:rsidR="000B638A" w:rsidRDefault="008F23F5">
      <w:pPr>
        <w:spacing w:after="40" w:line="240" w:lineRule="auto"/>
        <w:ind w:left="340" w:hanging="340"/>
      </w:pPr>
      <w:r>
        <w:rPr>
          <w:color w:val="111111"/>
          <w:sz w:val="16"/>
        </w:rPr>
        <w:t xml:space="preserve">Shu, K., Sliva, A., Wang, S., Tang, J., &amp; Liu, H. (2017). Fake news detection on social media: A data </w:t>
      </w:r>
      <w:r>
        <w:rPr>
          <w:color w:val="111111"/>
          <w:sz w:val="16"/>
        </w:rPr>
        <w:t>mining perspective. ACM SIGKDD Explorations Newsletter, 19(1), 22-36. https://doi.org/10.1145/3137597.3137600</w:t>
      </w:r>
    </w:p>
    <w:p w14:paraId="36104C9A" w14:textId="77777777" w:rsidR="000B638A" w:rsidRDefault="008F23F5">
      <w:pPr>
        <w:spacing w:after="40" w:line="240" w:lineRule="auto"/>
        <w:ind w:left="340" w:hanging="340"/>
      </w:pPr>
      <w:r>
        <w:rPr>
          <w:color w:val="111111"/>
          <w:sz w:val="16"/>
        </w:rPr>
        <w:t xml:space="preserve">Shu, K., Wang, S., &amp; Liu, H. (2019). Beyond news contents: The role of social context for fake news detection. In Proceedings of the </w:t>
      </w:r>
      <w:r>
        <w:rPr>
          <w:color w:val="111111"/>
          <w:sz w:val="16"/>
        </w:rPr>
        <w:t>Twelfth ACM International Conference on Web Search and Data Mining (pp. 312-320). ACM.</w:t>
      </w:r>
    </w:p>
    <w:p w14:paraId="2A5771F5" w14:textId="77777777" w:rsidR="000B638A" w:rsidRDefault="008F23F5">
      <w:pPr>
        <w:spacing w:after="40" w:line="240" w:lineRule="auto"/>
        <w:ind w:left="340" w:hanging="340"/>
      </w:pPr>
      <w:r>
        <w:rPr>
          <w:color w:val="111111"/>
          <w:sz w:val="16"/>
        </w:rPr>
        <w:t>Vosoughi, S., Roy, D., &amp; Aral, S. (2018). The spread of true and false news online. Science, 359(6380), 1146-1151. https://doi.org/10.1126/science.aap9559</w:t>
      </w:r>
    </w:p>
    <w:p w14:paraId="77BB9ED0" w14:textId="77777777" w:rsidR="000B638A" w:rsidRDefault="008F23F5">
      <w:pPr>
        <w:spacing w:after="40" w:line="240" w:lineRule="auto"/>
        <w:ind w:left="340" w:hanging="340"/>
      </w:pPr>
      <w:r>
        <w:rPr>
          <w:color w:val="111111"/>
          <w:sz w:val="16"/>
        </w:rPr>
        <w:t>Zhang, X., Du,</w:t>
      </w:r>
      <w:r>
        <w:rPr>
          <w:color w:val="111111"/>
          <w:sz w:val="16"/>
        </w:rPr>
        <w:t xml:space="preserve"> Q., &amp; Zhang, Z. (2022). A theory-driven machine learning system for financial disinformation detection. Production and Operations Management, 31(8), 3160-3179. https://doi.org/10.1111/poms.13743</w:t>
      </w:r>
    </w:p>
    <w:p w14:paraId="73C89775" w14:textId="77777777" w:rsidR="000B638A" w:rsidRDefault="008F23F5">
      <w:pPr>
        <w:spacing w:after="40" w:line="240" w:lineRule="auto"/>
        <w:ind w:left="340" w:hanging="340"/>
      </w:pPr>
      <w:r>
        <w:rPr>
          <w:color w:val="111111"/>
          <w:sz w:val="16"/>
        </w:rPr>
        <w:t xml:space="preserve">Zhou, L., Burgoon, J. K., Nunamaker, J. F., &amp; Twitchell, D. </w:t>
      </w:r>
      <w:r>
        <w:rPr>
          <w:color w:val="111111"/>
          <w:sz w:val="16"/>
        </w:rPr>
        <w:t>(2004). Automating linguistics-based cues for detecting deception in text-based asynchronous computer-mediated communication. Group Decision and Negotiation, 13(1), 81-106. https://doi.org/10.1023/B:GRUP.0000011944.62889.6f</w:t>
      </w:r>
    </w:p>
    <w:p w14:paraId="7167541E" w14:textId="77777777" w:rsidR="000B638A" w:rsidRDefault="008F23F5">
      <w:pPr>
        <w:jc w:val="center"/>
      </w:pPr>
      <w:r>
        <w:rPr>
          <w:b/>
          <w:color w:val="2F66B3"/>
          <w:sz w:val="16"/>
        </w:rPr>
        <w:t>© 2026 The Author(s) | Open Acce</w:t>
      </w:r>
      <w:r>
        <w:rPr>
          <w:b/>
          <w:color w:val="2F66B3"/>
          <w:sz w:val="16"/>
        </w:rPr>
        <w:t>ss</w:t>
      </w:r>
    </w:p>
    <w:sectPr w:rsidR="000B638A" w:rsidSect="00DB1379">
      <w:headerReference w:type="default" r:id="rId8"/>
      <w:footerReference w:type="default" r:id="rId9"/>
      <w:pgSz w:w="11906" w:h="16838"/>
      <w:pgMar w:top="907" w:right="1134" w:bottom="907" w:left="1134" w:header="397" w:footer="397" w:gutter="0"/>
      <w:pgNumType w:start="4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79740B" w14:textId="77777777" w:rsidR="008F23F5" w:rsidRDefault="008F23F5">
      <w:pPr>
        <w:spacing w:after="0" w:line="240" w:lineRule="auto"/>
      </w:pPr>
      <w:r>
        <w:separator/>
      </w:r>
    </w:p>
  </w:endnote>
  <w:endnote w:type="continuationSeparator" w:id="0">
    <w:p w14:paraId="364503A7" w14:textId="77777777" w:rsidR="008F23F5" w:rsidRDefault="008F23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A6F00" w14:textId="77777777" w:rsidR="000B638A" w:rsidRDefault="008F23F5">
    <w:pPr>
      <w:pStyle w:val="Footer"/>
      <w:jc w:val="center"/>
    </w:pPr>
    <w:r>
      <w:rPr>
        <w:color w:val="666666"/>
        <w:sz w:val="16"/>
      </w:rPr>
      <w:t xml:space="preserve">https://jurnal.aretelitera.com/JASTE/   |   </w:t>
    </w:r>
    <w:r>
      <w:rPr>
        <w:color w:val="666666"/>
        <w:sz w:val="16"/>
      </w:rPr>
      <w:fldChar w:fldCharType="begin"/>
    </w:r>
    <w:r>
      <w:rPr>
        <w:color w:val="666666"/>
        <w:sz w:val="16"/>
      </w:rPr>
      <w:instrText xml:space="preserve"> PAGE </w:instrText>
    </w:r>
    <w:r w:rsidR="00DB1379">
      <w:rPr>
        <w:color w:val="666666"/>
        <w:sz w:val="16"/>
      </w:rPr>
      <w:fldChar w:fldCharType="separate"/>
    </w:r>
    <w:r w:rsidR="00DB1379">
      <w:rPr>
        <w:noProof/>
        <w:color w:val="666666"/>
        <w:sz w:val="16"/>
      </w:rPr>
      <w:t>1</w:t>
    </w:r>
    <w:r>
      <w:rPr>
        <w:color w:val="666666"/>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2BD497" w14:textId="77777777" w:rsidR="008F23F5" w:rsidRDefault="008F23F5">
      <w:pPr>
        <w:spacing w:after="0" w:line="240" w:lineRule="auto"/>
      </w:pPr>
      <w:r>
        <w:separator/>
      </w:r>
    </w:p>
  </w:footnote>
  <w:footnote w:type="continuationSeparator" w:id="0">
    <w:p w14:paraId="2522CF34" w14:textId="77777777" w:rsidR="008F23F5" w:rsidRDefault="008F23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AEBE5" w14:textId="77777777" w:rsidR="000B638A" w:rsidRDefault="008F23F5">
    <w:pPr>
      <w:pStyle w:val="Header"/>
      <w:pBdr>
        <w:bottom w:val="single" w:sz="8" w:space="0" w:color="2F66B3"/>
      </w:pBdr>
    </w:pPr>
    <w:r>
      <w:rPr>
        <w:b/>
        <w:color w:val="2F66B3"/>
        <w:sz w:val="18"/>
      </w:rPr>
      <w:t>JASTE</w:t>
    </w:r>
    <w:r>
      <w:rPr>
        <w:color w:val="666666"/>
        <w:sz w:val="16"/>
      </w:rPr>
      <w:t xml:space="preserve">  |  Journal of Applied Science and Technology in Engineering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638A"/>
    <w:rsid w:val="0015074B"/>
    <w:rsid w:val="0029639D"/>
    <w:rsid w:val="00326F90"/>
    <w:rsid w:val="008F23F5"/>
    <w:rsid w:val="00AA1D8D"/>
    <w:rsid w:val="00B47730"/>
    <w:rsid w:val="00CB0664"/>
    <w:rsid w:val="00DB137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17E337"/>
  <w14:defaultImageDpi w14:val="300"/>
  <w15:docId w15:val="{4BC7412D-E204-4475-B9F8-5AD92879E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line="259" w:lineRule="auto"/>
    </w:pPr>
    <w:rPr>
      <w:rFonts w:ascii="Times New Roman" w:hAnsi="Times New Roman"/>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JASTEH1">
    <w:name w:val="JASTE H1"/>
    <w:pPr>
      <w:keepNext/>
      <w:spacing w:before="140" w:after="60"/>
    </w:pPr>
    <w:rPr>
      <w:rFonts w:ascii="Times New Roman" w:hAnsi="Times New Roman"/>
      <w:b/>
      <w:color w:val="2F66B3"/>
      <w:sz w:val="20"/>
    </w:rPr>
  </w:style>
  <w:style w:type="paragraph" w:customStyle="1" w:styleId="JASTEH2">
    <w:name w:val="JASTE H2"/>
    <w:pPr>
      <w:keepNext/>
      <w:spacing w:before="140" w:after="60"/>
    </w:pPr>
    <w:rPr>
      <w:rFonts w:ascii="Times New Roman" w:hAnsi="Times New Roman"/>
      <w:b/>
      <w:color w:val="11111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6812</Words>
  <Characters>38830</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45551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Machine Learning-Based Sentiment Classification for Detecting Financial Misinformation on Social Media</dc:title>
  <dc:subject>JASTE initial article, expanded version</dc:subject>
  <dc:creator>Robert Situmorang¹* and Yunus Yulianus¹</dc:creator>
  <cp:keywords/>
  <dc:description>generated by python-docx</dc:description>
  <cp:lastModifiedBy>erislan stmm</cp:lastModifiedBy>
  <cp:revision>2</cp:revision>
  <dcterms:created xsi:type="dcterms:W3CDTF">2013-12-23T23:15:00Z</dcterms:created>
  <dcterms:modified xsi:type="dcterms:W3CDTF">2026-08-25T04:03:00Z</dcterms:modified>
  <cp:category/>
</cp:coreProperties>
</file>